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黑体_GBK" w:cs="方正黑体_GBK"/>
          <w:szCs w:val="32"/>
        </w:rPr>
      </w:pPr>
      <w:r>
        <w:rPr>
          <w:rFonts w:hint="eastAsia" w:ascii="Times New Roman" w:hAnsi="Times New Roman" w:eastAsia="方正黑体_GBK" w:cs="方正黑体_GBK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简易注销全体投资人承诺书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现向登记机关申请</w:t>
      </w:r>
      <w:r>
        <w:rPr>
          <w:rFonts w:hint="eastAsia" w:ascii="Times New Roman" w:hAnsi="Times New Roman" w:cs="方正仿宋_GBK"/>
          <w:sz w:val="28"/>
          <w:szCs w:val="28"/>
          <w:u w:val="single"/>
        </w:rPr>
        <w:t xml:space="preserve">                          </w:t>
      </w:r>
      <w:r>
        <w:rPr>
          <w:rFonts w:hint="eastAsia" w:ascii="Times New Roman" w:hAnsi="Times New Roman" w:cs="方正仿宋_GBK"/>
          <w:sz w:val="28"/>
          <w:szCs w:val="28"/>
        </w:rPr>
        <w:t>（企业名称）的简易注销登记，并郑重承诺：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本企业申请注销登记前未发生债权债务/已将债权债务清算完结，不存在未结清清算费用、职工工资、社会保险费用、法定补偿金和未交清的应缴纳税款及其他未了结事务，清算工作已全面完结。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本企业承诺申请注销登记时不存在以下情形：涉及国家规定实施准入特别管理措施的外商投资企业；被列入企业经营异常名录或严重违法失信企业名单的；存在股权（投资权益）被冻结、出质或动产抵押等情形；有正在被立案调查或采取行政强制、司法协助、被予以行政处罚等情形的；企业所属的非法人分支机构未办理注销登记的；法律、行政法规或者国务院决定规定在注销登记前需经批准的；法律法规规定的不适用企业简易注销登记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本企业全体投资人对以上承诺的真实性负责，如果违法失信，则由全体投资人承担相应的法律后果和责任，并自愿接受相关行政执法部门的约束和惩戒。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2" w:firstLineChars="20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全体投资人签字（盖章）：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379" w:firstLineChars="1950"/>
        <w:jc w:val="both"/>
        <w:textAlignment w:val="auto"/>
        <w:outlineLvl w:val="9"/>
        <w:rPr>
          <w:rFonts w:ascii="Times New Roman" w:hAnsi="Times New Roman" w:cs="方正仿宋_GBK"/>
          <w:sz w:val="28"/>
          <w:szCs w:val="28"/>
        </w:rPr>
      </w:pPr>
      <w:r>
        <w:rPr>
          <w:rFonts w:hint="eastAsia" w:ascii="Times New Roman" w:hAnsi="Times New Roman" w:cs="方正仿宋_GBK"/>
          <w:sz w:val="28"/>
          <w:szCs w:val="28"/>
        </w:rPr>
        <w:t>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64A02"/>
    <w:rsid w:val="56C64A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2021-08-05T10:17:00Z</dcterms:created>
  <dc:creator>李笑雪</dc:creator>
  <cp:lastModifiedBy>李笑雪</cp:lastModifiedBy>
  <dcterms:modified xsi:type="dcterms:W3CDTF">2021-08-05T10:18:04Z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