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keepNext w:val="0"/>
        <w:keepLines w:val="0"/>
        <w:pageBreakBefore w:val="0"/>
        <w:widowControl w:val="0"/>
        <w:kinsoku/>
        <w:wordWrap/>
        <w:overflowPunct/>
        <w:topLinePunct w:val="0"/>
        <w:autoSpaceDE/>
        <w:autoSpaceDN/>
        <w:bidi w:val="0"/>
        <w:adjustRightInd w:val="0"/>
        <w:snapToGrid w:val="0"/>
        <w:spacing w:beforeLines="0" w:afterLines="0" w:line="800" w:lineRule="atLeast"/>
        <w:ind w:left="0" w:leftChars="0" w:right="0" w:rightChars="0" w:firstLine="0" w:firstLineChars="0"/>
        <w:jc w:val="center"/>
        <w:textAlignment w:val="auto"/>
        <w:outlineLvl w:val="0"/>
        <w:rPr>
          <w:rFonts w:hint="eastAsia"/>
        </w:rPr>
      </w:pPr>
      <w:r>
        <w:rPr>
          <w:rFonts w:hint="eastAsia"/>
        </w:rPr>
        <w:t>重庆市人民政府办公厅</w:t>
      </w:r>
    </w:p>
    <w:p>
      <w:pPr>
        <w:pStyle w:val="2"/>
        <w:keepNext w:val="0"/>
        <w:keepLines w:val="0"/>
        <w:pageBreakBefore w:val="0"/>
        <w:widowControl w:val="0"/>
        <w:kinsoku/>
        <w:wordWrap/>
        <w:overflowPunct/>
        <w:topLinePunct w:val="0"/>
        <w:autoSpaceDE/>
        <w:autoSpaceDN/>
        <w:bidi w:val="0"/>
        <w:adjustRightInd w:val="0"/>
        <w:snapToGrid w:val="0"/>
        <w:spacing w:beforeLines="0" w:afterLines="0" w:line="800" w:lineRule="atLeast"/>
        <w:ind w:left="0" w:leftChars="0" w:right="0" w:rightChars="0" w:firstLine="0" w:firstLineChars="0"/>
        <w:jc w:val="center"/>
        <w:textAlignment w:val="auto"/>
        <w:outlineLvl w:val="0"/>
        <w:rPr>
          <w:rFonts w:hint="eastAsia"/>
        </w:rPr>
      </w:pPr>
      <w:r>
        <w:rPr>
          <w:rFonts w:hint="eastAsia"/>
        </w:rPr>
        <w:t>关于开展2022年督查激励工作的通知</w:t>
      </w:r>
    </w:p>
    <w:p>
      <w:pPr>
        <w:jc w:val="center"/>
        <w:rPr>
          <w:rFonts w:hint="eastAsia"/>
        </w:rPr>
      </w:pPr>
      <w:r>
        <w:rPr>
          <w:rFonts w:hint="eastAsia" w:ascii="Times New Roman" w:hAnsi="Times New Roman"/>
          <w:color w:val="000000"/>
        </w:rPr>
        <w:t>渝府办发〔2022〕</w:t>
      </w:r>
      <w:r>
        <w:rPr>
          <w:rFonts w:hint="eastAsia"/>
          <w:color w:val="000000"/>
          <w:lang w:val="en-US" w:eastAsia="zh-CN"/>
        </w:rPr>
        <w:t>74</w:t>
      </w:r>
      <w:r>
        <w:rPr>
          <w:rFonts w:hint="eastAsia" w:ascii="Times New Roman" w:hAnsi="Times New Roman"/>
          <w:color w:val="000000"/>
        </w:rPr>
        <w:t>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pacing w:val="0"/>
        </w:rPr>
      </w:pPr>
      <w:r>
        <w:rPr>
          <w:rFonts w:hint="eastAsia"/>
          <w:spacing w:val="0"/>
        </w:rPr>
        <w:t>各区县（自治县）人民政府，市政府各部门，有关单位：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Fonts w:hint="eastAsia"/>
          <w:spacing w:val="0"/>
        </w:rPr>
        <w:t>为深入贯彻国务院办公厅关于新形势下进一步加强督查激励的要求，对真抓实干成效明显地方加大激励支持力度，经市政府同意，现将2022年督查激励工作有关事项通知如下：</w:t>
      </w:r>
    </w:p>
    <w:p>
      <w:pPr>
        <w:pStyle w:val="3"/>
        <w:rPr>
          <w:rFonts w:hint="eastAsia"/>
          <w:spacing w:val="0"/>
        </w:rPr>
      </w:pPr>
      <w:r>
        <w:rPr>
          <w:rFonts w:hint="eastAsia"/>
          <w:spacing w:val="0"/>
        </w:rPr>
        <w:t>一、激励措施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1﹒扩大有效投资。</w:t>
      </w:r>
      <w:r>
        <w:rPr>
          <w:rFonts w:hint="eastAsia"/>
          <w:spacing w:val="0"/>
        </w:rPr>
        <w:t>对在推进市级重大项目和民生项目建设中，严格落实征地拆迁和建设环境维护主体责任，全力保障项目建设供地和良好施工外部环境，为全市固定资产投资稳定增长、地方政府专项债券高效使用作出积极贡献的区县和国家级开发开放平台，在市级重大项目申报、新增专项债券额度分配等方面予以倾斜支持，并在区县经济社会发展业绩考核或其他有关考核中予以加分。（</w:t>
      </w:r>
      <w:r>
        <w:rPr>
          <w:rStyle w:val="10"/>
          <w:rFonts w:hint="eastAsia"/>
          <w:spacing w:val="0"/>
        </w:rPr>
        <w:t>牵头单位：市发展改革委、市财政局）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2﹒促进消费提质扩容。</w:t>
      </w:r>
      <w:r>
        <w:rPr>
          <w:rFonts w:hint="eastAsia"/>
          <w:spacing w:val="0"/>
        </w:rPr>
        <w:t>对加快培育建设国际消费中心城市成效明显，社会消费品零售总额增长较快，为稳定消费增长作出积极贡献的区县，在培育建设国际消费中心城市试点示范，以及重点商圈、特色商业、夜间经济、县域商业体系建设等项目上予以优先支持，在市商务区域协调发展资金分配上予以倾斜支持，并在区县经济社会发展业绩考核或其他有关考核中予以加分。</w:t>
      </w:r>
      <w:r>
        <w:rPr>
          <w:rStyle w:val="10"/>
          <w:rFonts w:hint="eastAsia"/>
          <w:spacing w:val="0"/>
        </w:rPr>
        <w:t>（牵头单位：市商务委）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3﹒持续抓好招商引资工作</w:t>
      </w:r>
      <w:r>
        <w:rPr>
          <w:rFonts w:hint="eastAsia"/>
          <w:spacing w:val="0"/>
        </w:rPr>
        <w:t>。对招商引资签约好，项目落地率高，特别是在工业招商、招大引强、招新引优等领域起到示范带动作用，参与中国国际智能产业博览会、中国西部国际投资贸易洽谈会等重大展会招商成效明显，推动本区域招商引资进步明显的区县和国家级开发开放平台，给予专项资金奖补支持，并在区县经济社会发展业绩考核或其他有关考核中予以加分。（</w:t>
      </w:r>
      <w:r>
        <w:rPr>
          <w:rStyle w:val="10"/>
          <w:rFonts w:hint="eastAsia"/>
          <w:spacing w:val="0"/>
        </w:rPr>
        <w:t>牵头单位：市招商投资局；配合单位：市财政局）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4﹒培育壮大创新主体。</w:t>
      </w:r>
      <w:r>
        <w:rPr>
          <w:rFonts w:hint="eastAsia"/>
          <w:spacing w:val="0"/>
        </w:rPr>
        <w:t>对强化企业创新主体地位，着力培育国家科技型中小企业、高新技术企业、市级科技型企业，落实知识价值信用贷款等政策措施，加强引进培育新型研发机构等成效明显的区县和国家级开发开放平台，优先支持开展企业科创板上市辅导、科技金融改革试点，在中央引导地方科技发展资金、市级引导区县科技发展专项资金分配上予以倾斜支持。</w:t>
      </w:r>
      <w:r>
        <w:rPr>
          <w:rStyle w:val="10"/>
          <w:rFonts w:hint="eastAsia"/>
          <w:spacing w:val="0"/>
        </w:rPr>
        <w:t>（牵头单位：市科技局；配合单位：市经济信息委、市财政局）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5﹒深化科技体制改革</w:t>
      </w:r>
      <w:r>
        <w:rPr>
          <w:rFonts w:hint="eastAsia"/>
          <w:spacing w:val="0"/>
        </w:rPr>
        <w:t>。对以重大改革举措提升区域科技创新能力、推动科技成果转化应用、优化创新创业环境等成效明显，在科技创新投入、技术合同交易额、科技创新人才等方面增长明显的区县和国家级开发开放平台，优先支持开展创新政策先行先试、以科技会商共同推进重大项目、打造成果转化和创新创业载体，在申报创建国家或市级高新技术产业开发区、科技创新基地等方面给予支持，在中央引导地方科技发展资金、市级引导区县科技发展专项资金分配上予以倾斜支持。</w:t>
      </w:r>
      <w:r>
        <w:rPr>
          <w:rStyle w:val="10"/>
          <w:rFonts w:hint="eastAsia"/>
          <w:spacing w:val="0"/>
        </w:rPr>
        <w:t>（牵头单位：市科技局；配合单位：市教委、市经济信息委、市财政局、市人力社保局）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6﹒推动战略性新兴产业集群发展。</w:t>
      </w:r>
      <w:r>
        <w:rPr>
          <w:rFonts w:hint="eastAsia"/>
          <w:spacing w:val="0"/>
        </w:rPr>
        <w:t>对扎实推进国家战略性新兴产业集群发展工程，聚焦主导产业发展，统筹抓好产业发展规模、发展质量和发展环境等成效明显的区县和国家级开发开放平台，优先支持申报国家有关部委战略性新兴产业发展专项、其他有关试点示范项目和市级有关专项项目。</w:t>
      </w:r>
      <w:r>
        <w:rPr>
          <w:rStyle w:val="10"/>
          <w:rFonts w:hint="eastAsia"/>
          <w:spacing w:val="0"/>
        </w:rPr>
        <w:t>（牵头单位：市发展改革委；配合单位：市经济信息委、市科技局）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7﹒推动制造业高质量绿色发展。</w:t>
      </w:r>
      <w:r>
        <w:rPr>
          <w:rFonts w:hint="eastAsia"/>
          <w:spacing w:val="0"/>
        </w:rPr>
        <w:t>扎实推动制造业高质量绿色发展，持续聚焦产业链水平提升、智能化改造、创新能力增强、特色产业发展、停产半停产企业复产止滑，统筹抓好稳增长、促转型、提质量、优调度等成效明显的区县和国家级开发开放平台，在专项资金安排中给予倾斜支持，优先推荐申报工业和信息化部试点示范项目，并在区县经济社会发展业绩考核或其他有关考核中予以加分。（</w:t>
      </w:r>
      <w:r>
        <w:rPr>
          <w:rStyle w:val="10"/>
          <w:rFonts w:hint="eastAsia"/>
          <w:spacing w:val="0"/>
        </w:rPr>
        <w:t>牵头单位：市经济信息委；配合单位：市财政局）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8﹒激发市场主体活力</w:t>
      </w:r>
      <w:r>
        <w:rPr>
          <w:rFonts w:hint="eastAsia"/>
          <w:spacing w:val="0"/>
        </w:rPr>
        <w:t>。对积极培育市场主体，持续推动中小企业“专精特新”发展，依法保护各类市场主体合法权益，强化服务举措，帮助市场主体纾困解难，促进中小微企业、民营经济发展成效明显的区县和国家级开发开放平台，在专项资金安排上给予倾斜支持。（</w:t>
      </w:r>
      <w:r>
        <w:rPr>
          <w:rStyle w:val="10"/>
          <w:rFonts w:hint="eastAsia"/>
          <w:spacing w:val="0"/>
        </w:rPr>
        <w:t>牵头单位：市经济信息委；配合单位：市发展改革委、市财政局、市市场监管局）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9﹒推进质量强市建设。</w:t>
      </w:r>
      <w:r>
        <w:rPr>
          <w:rFonts w:hint="eastAsia"/>
          <w:spacing w:val="0"/>
        </w:rPr>
        <w:t>对完善质量政策体系、增添质量促进措施、加强质量安全监管、夯实质量基础设施、提升质量总体水平等方面成效明显的区县和国家级开发开放平台，在质量工作改革创新试点示范、质量基础设施布局建设、质量提升行动重点帮扶、参与地方标准制定工作、申报全国推进质量工作先进和全国质量试点示范等方面给予倾斜支持，并予以资金奖补支持。</w:t>
      </w:r>
      <w:r>
        <w:rPr>
          <w:rStyle w:val="10"/>
          <w:rFonts w:hint="eastAsia"/>
          <w:spacing w:val="0"/>
        </w:rPr>
        <w:t>（牵头单位：市市场监管局；配合单位：市财政局）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10﹒加快推进数字化发展。</w:t>
      </w:r>
      <w:r>
        <w:rPr>
          <w:rFonts w:hint="eastAsia"/>
          <w:spacing w:val="0"/>
        </w:rPr>
        <w:t>对以“云联数算用”为着力点，推进实施“云长制”、新型智慧城市建设、政务数据资源管理、数字产业发展、数字政府建设、“渝快办”服务效能提升等成效明显的区县和国家级开发开放平台，优先推荐引进大数据智能化项目，在申报大数据智能化创新应用项目方面给予倾斜支持。</w:t>
      </w:r>
      <w:r>
        <w:rPr>
          <w:rStyle w:val="10"/>
          <w:rFonts w:hint="eastAsia"/>
          <w:spacing w:val="0"/>
        </w:rPr>
        <w:t>（牵头单位：市大数据发展局、市政府电子政务中心）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11﹒推动企业上市。</w:t>
      </w:r>
      <w:r>
        <w:rPr>
          <w:rFonts w:hint="eastAsia"/>
          <w:spacing w:val="0"/>
        </w:rPr>
        <w:t>对积极推动企业境内外上市、IPO申报、上市辅导备案、新三板挂牌、重庆OTC改制挂牌和上市公司再融资等成效明显的区县和国家级开发开放平台，优先开通私募股权基金备案服务“绿色通道”，并在金融改革创新先行先试、引进金融机构、金融开放项目试点、市区（县）两级金融合作联动等方面给予倾斜支持。</w:t>
      </w:r>
      <w:r>
        <w:rPr>
          <w:rStyle w:val="10"/>
          <w:rFonts w:hint="eastAsia"/>
          <w:spacing w:val="0"/>
        </w:rPr>
        <w:t>（牵头单位：市金融监管局）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12﹒营造市场化法治化国际化营商环境</w:t>
      </w:r>
      <w:r>
        <w:rPr>
          <w:rFonts w:hint="eastAsia"/>
          <w:spacing w:val="0"/>
        </w:rPr>
        <w:t>。对在开办企业、办理建筑许可等方面积极探索创新，为企业和群众提</w:t>
      </w:r>
      <w:r>
        <w:rPr>
          <w:rFonts w:hint="eastAsia"/>
          <w:spacing w:val="0"/>
          <w:lang w:eastAsia="zh-CN"/>
        </w:rPr>
        <w:t>供</w:t>
      </w:r>
      <w:r>
        <w:rPr>
          <w:rFonts w:hint="eastAsia"/>
          <w:spacing w:val="0"/>
        </w:rPr>
        <w:t>优质高效服务，营商环境良好的区县和国家级开发开放平台，在区县经济社会发展业绩考核或其他有关考核中予以加分。对加强信用信息共享应用，促进中小微企业融资成效明显的区县和国家级开发开放平台，优先推荐创建国家信用示范区，在高质量发展综合绩效评价和城市信用监测中予以加分，协调银行开发特色信易贷产品并在重庆信易贷平台提供区域性信用融资服务。</w:t>
      </w:r>
      <w:r>
        <w:rPr>
          <w:rStyle w:val="10"/>
          <w:rFonts w:hint="eastAsia"/>
          <w:spacing w:val="0"/>
        </w:rPr>
        <w:t>（牵头单位：市发展改革委）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13﹒巩固拓展脱贫攻坚成果。</w:t>
      </w:r>
      <w:r>
        <w:rPr>
          <w:rFonts w:hint="eastAsia"/>
          <w:spacing w:val="0"/>
        </w:rPr>
        <w:t>对推动衔接政策落实落地、完善和落实防止返贫监测帮扶机制、推动脱贫产业提质增效、促进脱贫人口稳岗就业、做好易地搬迁后续扶持、管好用好资金、深化东西部协作、中央单位定点帮扶、深化驻乡驻村帮扶和其他社会帮扶等方面成效明显的区县、乡镇（街道），给予资金奖补支持。</w:t>
      </w:r>
      <w:r>
        <w:rPr>
          <w:rStyle w:val="10"/>
          <w:rFonts w:hint="eastAsia"/>
          <w:spacing w:val="0"/>
        </w:rPr>
        <w:t>（牵头单位：市乡村振兴局）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14﹒推动农业高质量发展。</w:t>
      </w:r>
      <w:r>
        <w:rPr>
          <w:rFonts w:hint="eastAsia"/>
          <w:spacing w:val="0"/>
        </w:rPr>
        <w:t>对在全面推进“三变”改革、发展新型农村集体经济、全面推进农业农村绿色发展、培育壮大特色主导产业、深入实施农业生产“三品一标”提升行动、健全完善农产品质量安全追溯体系、做大做强农产品加工业、发展农产品电商等方面成效明显的区县、乡镇（街道）和国家级开发开放平台，在农业项目和资金安排上予以倾斜支持。</w:t>
      </w:r>
      <w:r>
        <w:rPr>
          <w:rStyle w:val="10"/>
          <w:rFonts w:hint="eastAsia"/>
          <w:spacing w:val="0"/>
        </w:rPr>
        <w:t>（牵头单位：市农业农村委）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15﹒推进高标准农田建设和稳定粮食生产</w:t>
      </w:r>
      <w:r>
        <w:rPr>
          <w:rFonts w:hint="eastAsia"/>
          <w:spacing w:val="0"/>
        </w:rPr>
        <w:t>。对高标准农田建设投入力度大、任务完成质量高、建后管护成效明显的区县，在分配年度农田建设财政资金时给予倾斜支持。对推进粮食生产成效明显的区县，在分配粮油生产发展资金时给予倾斜支持。</w:t>
      </w:r>
      <w:r>
        <w:rPr>
          <w:rStyle w:val="10"/>
          <w:rFonts w:hint="eastAsia"/>
          <w:spacing w:val="0"/>
        </w:rPr>
        <w:t>（牵头单位：市农业农村委；配合单位：市财政局）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Fonts w:hint="eastAsia"/>
          <w:spacing w:val="0"/>
        </w:rPr>
        <w:t>1</w:t>
      </w:r>
      <w:r>
        <w:rPr>
          <w:rStyle w:val="10"/>
          <w:rFonts w:hint="eastAsia"/>
        </w:rPr>
        <w:t>6﹒深入开展乡村治理。</w:t>
      </w:r>
      <w:r>
        <w:rPr>
          <w:rFonts w:hint="eastAsia"/>
          <w:spacing w:val="0"/>
        </w:rPr>
        <w:t>对推进乡村治理体系建设、示范村镇创建，推广运用乡村治理“积分制”“清单制”“院落制”和数字化等重点工作措施有力、成效明显，形成可复制、可推广经验的区县、乡镇（街道）和国家级开发开放平台，在有关政策、资金项目、创建示范村镇、典型经验推介上给予倾斜支持。</w:t>
      </w:r>
      <w:r>
        <w:rPr>
          <w:rStyle w:val="10"/>
          <w:rFonts w:hint="eastAsia"/>
          <w:spacing w:val="0"/>
        </w:rPr>
        <w:t>（牵头单位：市乡村振兴局）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17﹒推进“河长制”“林长制”。</w:t>
      </w:r>
      <w:r>
        <w:rPr>
          <w:rFonts w:hint="eastAsia"/>
          <w:spacing w:val="0"/>
        </w:rPr>
        <w:t>对“河长制”工作推进力度大，在河流管理保护、重庆市总河长令第4号落实、“一河一策”实施、限期退出类小水电整改等方面工作成效明显的区县，给予资金奖补支持。对“林长制”工作推进力度大，在贯彻落实重庆市总林长令第1号、国土绿化、资源保护管理、以国家公园为主体的自然保护地体系建设、野生动植物保护、森林草原灾害防控等方面成效明显的区县、乡镇（街道）和国家级开发开放平台，在安排林业改革发展资金时给予倾斜支持。</w:t>
      </w:r>
      <w:r>
        <w:rPr>
          <w:rStyle w:val="10"/>
          <w:rFonts w:hint="eastAsia"/>
          <w:spacing w:val="0"/>
        </w:rPr>
        <w:t>（牵头单位：市水利局、市林业局；配合单位：市财政局）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1"/>
        </w:rPr>
      </w:pPr>
      <w:r>
        <w:rPr>
          <w:rStyle w:val="10"/>
          <w:rFonts w:hint="eastAsia"/>
        </w:rPr>
        <w:t>18﹒推进公路和水网建设。</w:t>
      </w:r>
      <w:r>
        <w:rPr>
          <w:rFonts w:hint="eastAsia"/>
          <w:spacing w:val="0"/>
        </w:rPr>
        <w:t>对实现普通公路建设年度投资稳</w:t>
      </w:r>
      <w:r>
        <w:rPr>
          <w:rFonts w:hint="eastAsia"/>
          <w:spacing w:val="1"/>
        </w:rPr>
        <w:t>定增长，普通公路管理养护水平稳步提升的区县和国家级开发开放平台，在安排市级专项资金时给予倾斜支持。对执行国家和市级水网骨干工程、大中型病险水库除险加固等项目涉及的中央水利建设投资计划，以及水利建设质量管理工作等成效明显的区县和国家级开发开放平台，在安排市级投资时给予倾斜支持。</w:t>
      </w:r>
      <w:r>
        <w:rPr>
          <w:rStyle w:val="10"/>
          <w:rFonts w:hint="eastAsia"/>
          <w:spacing w:val="1"/>
        </w:rPr>
        <w:t>（牵头单位：市交通局、市水利局；配合单位：市发展改革委、市财政局）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19﹒实施城市更新行动</w:t>
      </w:r>
      <w:r>
        <w:rPr>
          <w:rFonts w:hint="eastAsia"/>
          <w:spacing w:val="0"/>
        </w:rPr>
        <w:t>。对大力推进岸线治理、山城步道建设、路网更新和停车治理提升工作，城市更新试点示范、城镇老旧小区改造、棚户区改造、保障性租赁住房发展等成效明显，形成可复制、可推广经验的区县和国家级开发开放平台，给予资金奖补支持；其中涉及城镇老旧小区改造方面，同时在区县经济社会发展业绩考核或其他有关考核中予以加分。</w:t>
      </w:r>
      <w:r>
        <w:rPr>
          <w:rStyle w:val="10"/>
          <w:rFonts w:hint="eastAsia"/>
          <w:spacing w:val="0"/>
        </w:rPr>
        <w:t>（牵头单位：市住房城乡建委；配合单位：市发展改革委、市财政局）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20﹒深化城市综合管理。</w:t>
      </w:r>
      <w:r>
        <w:rPr>
          <w:rFonts w:hint="eastAsia"/>
          <w:spacing w:val="0"/>
        </w:rPr>
        <w:t>对大力推进城市园林绿化补缺提质、实施老城区环境“小而美”惠民提升行动、打造招牌品质提升示范街区、深化建筑渣土运输车辆治理、构建城市智管新格局等成效明显，形成可复制、可推广经验的区县和国家级开发开放平台，在区县经济社会发展业绩考核或其他有关考核中予以加分。</w:t>
      </w:r>
      <w:r>
        <w:rPr>
          <w:rStyle w:val="10"/>
          <w:rFonts w:hint="eastAsia"/>
          <w:spacing w:val="0"/>
        </w:rPr>
        <w:t>（牵头单位：市城市管理局）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21﹒持续抓好生态环境保护。</w:t>
      </w:r>
      <w:r>
        <w:rPr>
          <w:rFonts w:hint="eastAsia"/>
          <w:spacing w:val="0"/>
        </w:rPr>
        <w:t>对全面落实“共抓大保护、不搞大开发”方针，深入推进生态文明体制改革、制度创新、模式探索，深入打好污染防治攻坚战，推进减污降碳协同增效，努力改善水、大气、土壤等生态环境质量，落实中央生态环境保护督察反馈问题整改，解决生态环境突出问题，生态保护与产业绿色发展协同推进等措施有力、成效明显的区县、乡镇（街道）和国家级开发开放平台，给予专项资金奖补支持，并在区县经济社会发展业绩考核或其他有关考核中予以加分。</w:t>
      </w:r>
      <w:r>
        <w:rPr>
          <w:rStyle w:val="10"/>
          <w:rFonts w:hint="eastAsia"/>
          <w:spacing w:val="0"/>
        </w:rPr>
        <w:t>（牵头单位：市生态环境局）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22﹒加强就业保障。</w:t>
      </w:r>
      <w:r>
        <w:rPr>
          <w:rFonts w:hint="eastAsia"/>
          <w:spacing w:val="0"/>
        </w:rPr>
        <w:t>对实施积极就业政策、合理有效使用就业资金、推动改革创新举措，促进高校毕业生、失业人员、农民工、退役军人等重点群体就业创业成效明显的区县和国家级开发开放平台，在就业补助转移支付资金安排上给予倾斜支持。（</w:t>
      </w:r>
      <w:r>
        <w:rPr>
          <w:rStyle w:val="10"/>
          <w:rFonts w:hint="eastAsia"/>
          <w:spacing w:val="0"/>
        </w:rPr>
        <w:t>牵头单位：市人力社保局；配合单位：市财政局）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23﹒深化养老服务领域改革。</w:t>
      </w:r>
      <w:r>
        <w:rPr>
          <w:rFonts w:hint="eastAsia"/>
          <w:spacing w:val="0"/>
        </w:rPr>
        <w:t>对健全养老服务体系，推进养老事业和产业协同发展，建立健全养老服务综合监管制度，推动城乡社区居家养老服务全覆盖等成效明显的区县、乡镇（街道）和国家级开发开放平台，在安排专项转移支付和市级福彩公益金补助区县老年人福利类项目方面给予倾斜支持。</w:t>
      </w:r>
      <w:r>
        <w:rPr>
          <w:rStyle w:val="10"/>
          <w:rFonts w:hint="eastAsia"/>
          <w:spacing w:val="0"/>
        </w:rPr>
        <w:t>（牵头单位：市民政局；配合单位：市发展改革委、市财政局）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1"/>
        </w:rPr>
      </w:pPr>
      <w:r>
        <w:rPr>
          <w:rStyle w:val="10"/>
          <w:rFonts w:hint="eastAsia"/>
        </w:rPr>
        <w:t>24﹒推动教育公平发展和质量提升</w:t>
      </w:r>
      <w:r>
        <w:rPr>
          <w:rFonts w:hint="eastAsia"/>
          <w:spacing w:val="0"/>
        </w:rPr>
        <w:t>。对县域学前教育普及普</w:t>
      </w:r>
      <w:r>
        <w:rPr>
          <w:rFonts w:hint="eastAsia"/>
          <w:spacing w:val="1"/>
        </w:rPr>
        <w:t>惠率高、县域义务教育发展优质均衡、科学履行教育职责评价改革、职业教育改革发展、近视防控改革试验区（县）建设等成效明显的区县和国家级开发开放平台，给予资金奖补或相关项目倾斜支持。</w:t>
      </w:r>
      <w:r>
        <w:rPr>
          <w:rStyle w:val="10"/>
          <w:rFonts w:hint="eastAsia"/>
          <w:spacing w:val="1"/>
        </w:rPr>
        <w:t>（牵头单位：市教委；配合单位：市财政局、市人力社保局）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25﹒推动卫生健康高质量发展。</w:t>
      </w:r>
      <w:r>
        <w:rPr>
          <w:rFonts w:hint="eastAsia"/>
          <w:spacing w:val="0"/>
        </w:rPr>
        <w:t>对在卫生健康全领域取得高质量发展，在卫生健康管理、事业发展、改革创新、服务群众等方面工作成效明显的区县和国家级开发开放平台，给予资金奖补支持。</w:t>
      </w:r>
      <w:r>
        <w:rPr>
          <w:rStyle w:val="10"/>
          <w:rFonts w:hint="eastAsia"/>
          <w:spacing w:val="0"/>
        </w:rPr>
        <w:t>（牵头单位：市卫生健康委）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26﹒优化医保领域便民服务</w:t>
      </w:r>
      <w:r>
        <w:rPr>
          <w:rFonts w:hint="eastAsia"/>
          <w:spacing w:val="0"/>
        </w:rPr>
        <w:t>。对优化医保领域便民服务、推进医保经办管理服务体系建设、提升医保规范化管理水平等工作成效明显的区县，给予资金奖补支持。（</w:t>
      </w:r>
      <w:r>
        <w:rPr>
          <w:rStyle w:val="10"/>
          <w:rFonts w:hint="eastAsia"/>
          <w:spacing w:val="0"/>
        </w:rPr>
        <w:t>牵头单位：市医保局）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27﹒推动文化和旅游产业高质量发展</w:t>
      </w:r>
      <w:r>
        <w:rPr>
          <w:rFonts w:hint="eastAsia"/>
          <w:spacing w:val="0"/>
        </w:rPr>
        <w:t>。对文化产业和旅游产业经济贡献大、招商引资成效明显、平台载体发展良好、文旅消费质量水平高的区县，在市级文化产业专项资金重大项目扶持、国家级和市级文化产业示范园区（基地）、市级夜间文化和旅游消费集聚区、重庆文化旅游消费惠民消费季特色活动补贴等方面给予倾斜支持。</w:t>
      </w:r>
      <w:r>
        <w:rPr>
          <w:rStyle w:val="10"/>
          <w:rFonts w:hint="eastAsia"/>
          <w:spacing w:val="0"/>
        </w:rPr>
        <w:t>（牵头单位：市文化旅游委）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Style w:val="10"/>
          <w:rFonts w:hint="eastAsia"/>
          <w:spacing w:val="0"/>
        </w:rPr>
      </w:pPr>
      <w:r>
        <w:rPr>
          <w:rStyle w:val="10"/>
          <w:rFonts w:hint="eastAsia"/>
        </w:rPr>
        <w:t>28﹒防范化解安全生产重大风险。</w:t>
      </w:r>
      <w:r>
        <w:rPr>
          <w:rFonts w:hint="eastAsia"/>
          <w:spacing w:val="0"/>
        </w:rPr>
        <w:t>对在推进安全生产专项整治三年行动中，有效化解交通、危险化学品、建设、防汛抗旱等行业领域突出问题，落实安全生产“十五条硬措施”，全面开展安全生产与自然灾害防治工作大检查，持续开展高层建筑、老旧小区消防安全和危险化学品安全专项整治，推动风险监测预警、应急救援力量建设、应急物资保障等应急能力提升，积极创建安全示范城市，形成可复制、可推广经验的区县和国家级开发开放平台，给予资金奖补支持。（</w:t>
      </w:r>
      <w:r>
        <w:rPr>
          <w:rStyle w:val="10"/>
          <w:rFonts w:hint="eastAsia"/>
          <w:spacing w:val="0"/>
        </w:rPr>
        <w:t>牵头单位：市应急局）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29﹒持续推进新冠肺炎疫情防控</w:t>
      </w:r>
      <w:r>
        <w:rPr>
          <w:rFonts w:hint="eastAsia"/>
          <w:spacing w:val="0"/>
        </w:rPr>
        <w:t>。对推进新冠肺炎疫情防控，在医疗救治、流调溯源、核酸检测、疫苗接种、社区排查、医疗物资保障、市场供应保障等方面成效明显、为全市新冠肺炎疫情防控工作作出重大贡献的区县和国家级开发开放平台，在区县经济社会发展业绩考核或其他有关考核中予以加分。（</w:t>
      </w:r>
      <w:r>
        <w:rPr>
          <w:rStyle w:val="10"/>
          <w:rFonts w:hint="eastAsia"/>
          <w:spacing w:val="0"/>
        </w:rPr>
        <w:t>牵头单位：市新冠肺炎疫情防控指挥部综合办公室）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30﹒获得通报表彰和肯定性批示情况</w:t>
      </w:r>
      <w:r>
        <w:rPr>
          <w:rFonts w:hint="eastAsia"/>
          <w:spacing w:val="0"/>
        </w:rPr>
        <w:t>。对单位工作获得</w:t>
      </w:r>
      <w:r>
        <w:rPr>
          <w:rFonts w:hint="eastAsia"/>
          <w:spacing w:val="0"/>
          <w:lang w:eastAsia="zh-CN"/>
        </w:rPr>
        <w:t>中共</w:t>
      </w:r>
      <w:r>
        <w:rPr>
          <w:rFonts w:hint="eastAsia"/>
          <w:spacing w:val="0"/>
        </w:rPr>
        <w:t>中央（含中共中央办公厅）、国务院（含国务院办公厅）通报表彰，获得</w:t>
      </w:r>
      <w:r>
        <w:rPr>
          <w:rFonts w:hint="eastAsia"/>
          <w:spacing w:val="0"/>
          <w:lang w:eastAsia="zh-CN"/>
        </w:rPr>
        <w:t>中共</w:t>
      </w:r>
      <w:r>
        <w:rPr>
          <w:rFonts w:hint="eastAsia"/>
          <w:spacing w:val="0"/>
        </w:rPr>
        <w:t>中央、国务院领导同志肯定性批示的区县和国家级开发开放平台，在区县经济社会发展业绩考核或其他有关考核中予以加分。</w:t>
      </w:r>
      <w:r>
        <w:rPr>
          <w:rStyle w:val="10"/>
          <w:rFonts w:hint="eastAsia"/>
          <w:spacing w:val="0"/>
        </w:rPr>
        <w:t>（牵头单位：市政府办公厅）</w:t>
      </w:r>
    </w:p>
    <w:p>
      <w:pPr>
        <w:pStyle w:val="3"/>
        <w:rPr>
          <w:rFonts w:hint="eastAsia"/>
          <w:spacing w:val="0"/>
        </w:rPr>
      </w:pPr>
      <w:r>
        <w:rPr>
          <w:rFonts w:hint="eastAsia"/>
          <w:spacing w:val="0"/>
        </w:rPr>
        <w:t>二、组织实施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Fonts w:hint="eastAsia"/>
          <w:spacing w:val="0"/>
        </w:rPr>
        <w:t>2022年对真抓实干成效明显地方予以激励支持工作按照区县申报、部门推荐、通报实施3个步骤进行。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1﹒区县申报。</w:t>
      </w:r>
      <w:r>
        <w:rPr>
          <w:rFonts w:hint="eastAsia"/>
          <w:spacing w:val="0"/>
        </w:rPr>
        <w:t>2023年2月1日前，各区县、国家级开发开放平台对照激励措施进行自评，梳理有关典型经验做法并形成申报材料，报送市级有关牵头部门。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2﹒部门推荐</w:t>
      </w:r>
      <w:r>
        <w:rPr>
          <w:rFonts w:hint="eastAsia"/>
          <w:spacing w:val="0"/>
        </w:rPr>
        <w:t>。市级各牵头部门按照客观公正、优中选优的原则及时组织开展评审工作，在结合国务院大督查、专项督查及部门日常督查掌握的情况的基础上，综合评价各区县、国家级开发开放平台工作实效，分类提出激励推荐名单，必要时可组织第三方机构和专家联合评审，确保激励推荐名单中的激励事项能充分体现典型性和代表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Style w:val="10"/>
          <w:rFonts w:hint="eastAsia"/>
        </w:rPr>
        <w:t>3﹒通报实施</w:t>
      </w:r>
      <w:r>
        <w:rPr>
          <w:rFonts w:hint="eastAsia"/>
          <w:spacing w:val="0"/>
        </w:rPr>
        <w:t>。2023年3月底前，市级牵头部门将激励推荐名单和拟采取的具体激励内容报送市政府督查办。市政府督查办组织审核，按程序报市政府确定督查激励正式名单并通报实施。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spacing w:val="0"/>
        </w:rPr>
      </w:pPr>
      <w:r>
        <w:rPr>
          <w:rFonts w:hint="eastAsia"/>
          <w:spacing w:val="0"/>
        </w:rPr>
        <w:t>市级牵头部门要高度重视此项工作，及时制定或调整完善激励措施实施办法，于2022年7月16日前报送市政府督查办；要按照中央和市委、市政府关于统筹规范督查检查考核工作的要求，创新激励评价方式，改进激励评审方法，简化操作，优化流程，加强协调配合，避免增加基层负担；要严明评审工作纪律，落实全面从严治党</w:t>
      </w:r>
      <w:bookmarkStart w:id="0" w:name="_GoBack"/>
      <w:bookmarkEnd w:id="0"/>
      <w:r>
        <w:rPr>
          <w:rFonts w:hint="eastAsia"/>
          <w:spacing w:val="0"/>
        </w:rPr>
        <w:t>各项要求，层层压实责任，营造风清气正的良好氛围；要及时组织兑现激励支持措施，指导区县、乡镇（街道）和国家级开发开放平台用足用好激励措施，加大对评选出的典型经验做法的宣传推广力度，充分发挥督查激励的示范引导作用。各区县政府、国家级开发开放平台办公室要统筹协调，加强与市级有关部门的沟通对接，做好本地区激励措施的申报和组织落实工作。市政府督查办要加强统筹协调和督促检查，适时对督查激励措施实施效果组织评估。</w:t>
      </w:r>
    </w:p>
    <w:p>
      <w:pPr>
        <w:keepNext w:val="0"/>
        <w:keepLines w:val="0"/>
        <w:pageBreakBefore w:val="0"/>
        <w:widowControl w:val="0"/>
        <w:kinsoku/>
        <w:wordWrap/>
        <w:overflowPunct/>
        <w:topLinePunct w:val="0"/>
        <w:autoSpaceDE/>
        <w:autoSpaceDN/>
        <w:bidi w:val="0"/>
        <w:adjustRightInd/>
        <w:snapToGrid/>
        <w:spacing w:before="176" w:beforeLines="30" w:line="240" w:lineRule="auto"/>
        <w:ind w:left="0" w:leftChars="0" w:right="0" w:rightChars="0" w:firstLine="632" w:firstLineChars="200"/>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932" w:rightChars="295" w:firstLine="632" w:firstLineChars="200"/>
        <w:jc w:val="right"/>
        <w:textAlignment w:val="auto"/>
        <w:outlineLvl w:val="9"/>
        <w:rPr>
          <w:rFonts w:hint="eastAsia"/>
        </w:rPr>
      </w:pPr>
      <w:r>
        <w:rPr>
          <w:rFonts w:hint="eastAsia"/>
        </w:rPr>
        <w:t>重庆市人民政府办公厅</w:t>
      </w:r>
    </w:p>
    <w:p>
      <w:pPr>
        <w:keepNext w:val="0"/>
        <w:keepLines w:val="0"/>
        <w:pageBreakBefore w:val="0"/>
        <w:widowControl w:val="0"/>
        <w:kinsoku/>
        <w:wordWrap/>
        <w:overflowPunct/>
        <w:topLinePunct w:val="0"/>
        <w:autoSpaceDE/>
        <w:autoSpaceDN/>
        <w:bidi w:val="0"/>
        <w:adjustRightInd/>
        <w:snapToGrid/>
        <w:spacing w:line="240" w:lineRule="auto"/>
        <w:ind w:left="0" w:leftChars="0" w:right="1264" w:rightChars="400" w:firstLine="632" w:firstLineChars="200"/>
        <w:jc w:val="right"/>
        <w:textAlignment w:val="auto"/>
        <w:outlineLvl w:val="9"/>
        <w:rPr>
          <w:rFonts w:hint="eastAsia"/>
        </w:rPr>
      </w:pPr>
      <w:r>
        <w:rPr>
          <w:rFonts w:hint="eastAsia"/>
        </w:rPr>
        <w:t>2022年6月</w:t>
      </w:r>
      <w:r>
        <w:rPr>
          <w:rFonts w:hint="eastAsia"/>
          <w:lang w:val="en-US" w:eastAsia="zh-CN"/>
        </w:rPr>
        <w:t>25</w:t>
      </w:r>
      <w:r>
        <w:rPr>
          <w:rFonts w:hint="eastAsia"/>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color w:val="000000"/>
        </w:rPr>
      </w:pPr>
      <w:r>
        <w:rPr>
          <w:rFonts w:hint="eastAsia"/>
        </w:rPr>
        <w:t>（此件公开发布）</w:t>
      </w:r>
    </w:p>
    <w:sectPr>
      <w:footerReference r:id="rId3" w:type="default"/>
      <w:footerReference r:id="rId4" w:type="even"/>
      <w:pgSz w:w="11906" w:h="16838"/>
      <w:pgMar w:top="2098" w:right="1531" w:bottom="1985" w:left="1531"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0CBE810-8E8A-4808-B18F-F8194667C1DD}"/>
  </w:font>
  <w:font w:name="Arial">
    <w:panose1 w:val="020B0604020202020204"/>
    <w:charset w:val="01"/>
    <w:family w:val="swiss"/>
    <w:pitch w:val="default"/>
    <w:sig w:usb0="E0002EFF" w:usb1="C000785B" w:usb2="00000009" w:usb3="00000000" w:csb0="400001FF" w:csb1="FFFF0000"/>
    <w:embedRegular r:id="rId2" w:fontKey="{DAFDD9C4-30AD-48D2-892E-B809BC93C72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0044507-09C8-4748-B2CC-34749A866AFA}"/>
  </w:font>
  <w:font w:name="Symbol">
    <w:panose1 w:val="05050102010706020507"/>
    <w:charset w:val="02"/>
    <w:family w:val="roman"/>
    <w:pitch w:val="default"/>
    <w:sig w:usb0="00000000" w:usb1="00000000" w:usb2="00000000" w:usb3="00000000" w:csb0="80000000" w:csb1="00000000"/>
    <w:embedRegular r:id="rId4" w:fontKey="{AB91A3FB-DA2F-4751-8D74-D79DB0308320}"/>
  </w:font>
  <w:font w:name="Calibri">
    <w:panose1 w:val="020F0502020204030204"/>
    <w:charset w:val="00"/>
    <w:family w:val="swiss"/>
    <w:pitch w:val="default"/>
    <w:sig w:usb0="E4002EFF" w:usb1="C000247B" w:usb2="00000009" w:usb3="00000000" w:csb0="200001FF" w:csb1="00000000"/>
    <w:embedRegular r:id="rId5" w:fontKey="{6F8518A9-0A7A-45F8-B25D-0975BC401353}"/>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embedRegular r:id="rId6" w:fontKey="{6AA9B3D8-F1D7-4F6D-A7F7-4DF0E2298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jc w:val="right"/>
      <w:rPr>
        <w:sz w:val="28"/>
      </w:rPr>
    </w:pPr>
    <w:r>
      <w:rPr>
        <w:rStyle w:val="9"/>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1</w:t>
    </w:r>
    <w:r>
      <w:rPr>
        <w:kern w:val="0"/>
        <w:sz w:val="28"/>
      </w:rPr>
      <w:fldChar w:fldCharType="end"/>
    </w:r>
    <w:r>
      <w:rPr>
        <w:kern w:val="0"/>
        <w:sz w:val="28"/>
      </w:rPr>
      <w:t xml:space="preserve"> </w:t>
    </w:r>
    <w:r>
      <w:rPr>
        <w:rStyle w:val="9"/>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rPr>
        <w:sz w:val="28"/>
      </w:rPr>
    </w:pPr>
    <w:r>
      <w:rPr>
        <w:rStyle w:val="9"/>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2</w:t>
    </w:r>
    <w:r>
      <w:rPr>
        <w:kern w:val="0"/>
        <w:sz w:val="28"/>
      </w:rPr>
      <w:fldChar w:fldCharType="end"/>
    </w:r>
    <w:r>
      <w:rPr>
        <w:kern w:val="0"/>
        <w:sz w:val="28"/>
      </w:rPr>
      <w:t xml:space="preserve"> </w:t>
    </w:r>
    <w:r>
      <w:rPr>
        <w:rStyle w:val="9"/>
        <w:rFonts w:hint="eastAsia"/>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evenAndOddHeaders w:val="1"/>
  <w:drawingGridHorizontalSpacing w:val="315"/>
  <w:drawingGridVerticalSpacing w:val="579"/>
  <w:displayHorizontalDrawingGridEvery w:val="0"/>
  <w:displayVerticalDrawingGridEvery w:val="1"/>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jZWM1ZDZhMTgxZmVhOTRmZTM5Y2ViMWExYTc5ZWEifQ=="/>
  </w:docVars>
  <w:rsids>
    <w:rsidRoot w:val="2C8A5D1D"/>
    <w:rsid w:val="00000382"/>
    <w:rsid w:val="00003093"/>
    <w:rsid w:val="0000329F"/>
    <w:rsid w:val="00007FC6"/>
    <w:rsid w:val="000116DA"/>
    <w:rsid w:val="00013335"/>
    <w:rsid w:val="00014B91"/>
    <w:rsid w:val="00015E64"/>
    <w:rsid w:val="00017121"/>
    <w:rsid w:val="0002225C"/>
    <w:rsid w:val="0002331B"/>
    <w:rsid w:val="0002417D"/>
    <w:rsid w:val="00024B01"/>
    <w:rsid w:val="00026F0E"/>
    <w:rsid w:val="000274E9"/>
    <w:rsid w:val="00030168"/>
    <w:rsid w:val="00031173"/>
    <w:rsid w:val="00031C22"/>
    <w:rsid w:val="00032977"/>
    <w:rsid w:val="00032B25"/>
    <w:rsid w:val="00033BC7"/>
    <w:rsid w:val="00035E05"/>
    <w:rsid w:val="00037023"/>
    <w:rsid w:val="0004032B"/>
    <w:rsid w:val="000415C6"/>
    <w:rsid w:val="00041B53"/>
    <w:rsid w:val="00041E75"/>
    <w:rsid w:val="0004373C"/>
    <w:rsid w:val="00043866"/>
    <w:rsid w:val="00043AB3"/>
    <w:rsid w:val="000460AE"/>
    <w:rsid w:val="000476FF"/>
    <w:rsid w:val="00051EA7"/>
    <w:rsid w:val="00055746"/>
    <w:rsid w:val="00056F10"/>
    <w:rsid w:val="00057F7E"/>
    <w:rsid w:val="000604B2"/>
    <w:rsid w:val="0006085E"/>
    <w:rsid w:val="00060E1C"/>
    <w:rsid w:val="00063AD5"/>
    <w:rsid w:val="00065EDA"/>
    <w:rsid w:val="000660AB"/>
    <w:rsid w:val="00066D40"/>
    <w:rsid w:val="00067F0D"/>
    <w:rsid w:val="00070408"/>
    <w:rsid w:val="000713E8"/>
    <w:rsid w:val="000714DF"/>
    <w:rsid w:val="00071E64"/>
    <w:rsid w:val="000729F4"/>
    <w:rsid w:val="000749FB"/>
    <w:rsid w:val="000761F2"/>
    <w:rsid w:val="000767F3"/>
    <w:rsid w:val="00084781"/>
    <w:rsid w:val="000858A8"/>
    <w:rsid w:val="00091529"/>
    <w:rsid w:val="0009670D"/>
    <w:rsid w:val="00096AB3"/>
    <w:rsid w:val="000A4164"/>
    <w:rsid w:val="000A7420"/>
    <w:rsid w:val="000A79DD"/>
    <w:rsid w:val="000B1CE9"/>
    <w:rsid w:val="000B43B8"/>
    <w:rsid w:val="000B4781"/>
    <w:rsid w:val="000B5FDB"/>
    <w:rsid w:val="000B6C65"/>
    <w:rsid w:val="000B7B3D"/>
    <w:rsid w:val="000C2038"/>
    <w:rsid w:val="000C2609"/>
    <w:rsid w:val="000C3C38"/>
    <w:rsid w:val="000C622A"/>
    <w:rsid w:val="000C6AF8"/>
    <w:rsid w:val="000C6B0C"/>
    <w:rsid w:val="000C6B21"/>
    <w:rsid w:val="000C702E"/>
    <w:rsid w:val="000C7DF8"/>
    <w:rsid w:val="000D2B51"/>
    <w:rsid w:val="000D2C2B"/>
    <w:rsid w:val="000D3F02"/>
    <w:rsid w:val="000D5654"/>
    <w:rsid w:val="000D6290"/>
    <w:rsid w:val="000D6346"/>
    <w:rsid w:val="000D63AE"/>
    <w:rsid w:val="000D70C0"/>
    <w:rsid w:val="000E0E10"/>
    <w:rsid w:val="000E0E39"/>
    <w:rsid w:val="000E2E8F"/>
    <w:rsid w:val="000E3696"/>
    <w:rsid w:val="000E5323"/>
    <w:rsid w:val="000E534A"/>
    <w:rsid w:val="000F045B"/>
    <w:rsid w:val="000F2923"/>
    <w:rsid w:val="000F51C7"/>
    <w:rsid w:val="000F54A2"/>
    <w:rsid w:val="00106917"/>
    <w:rsid w:val="00113397"/>
    <w:rsid w:val="0011527B"/>
    <w:rsid w:val="0011669C"/>
    <w:rsid w:val="00122F31"/>
    <w:rsid w:val="001230FC"/>
    <w:rsid w:val="00125E3B"/>
    <w:rsid w:val="0012609C"/>
    <w:rsid w:val="00126520"/>
    <w:rsid w:val="00130780"/>
    <w:rsid w:val="0013201D"/>
    <w:rsid w:val="00132A20"/>
    <w:rsid w:val="0014002A"/>
    <w:rsid w:val="00140220"/>
    <w:rsid w:val="001411E4"/>
    <w:rsid w:val="00142AA9"/>
    <w:rsid w:val="00145DF4"/>
    <w:rsid w:val="00145E1D"/>
    <w:rsid w:val="00145F70"/>
    <w:rsid w:val="001508A5"/>
    <w:rsid w:val="001509A5"/>
    <w:rsid w:val="0015389A"/>
    <w:rsid w:val="00153A3D"/>
    <w:rsid w:val="0015694C"/>
    <w:rsid w:val="00160E8A"/>
    <w:rsid w:val="00160F7A"/>
    <w:rsid w:val="00162C80"/>
    <w:rsid w:val="001644EB"/>
    <w:rsid w:val="00166911"/>
    <w:rsid w:val="00166EAB"/>
    <w:rsid w:val="00170182"/>
    <w:rsid w:val="00171FC6"/>
    <w:rsid w:val="00175C23"/>
    <w:rsid w:val="0017677B"/>
    <w:rsid w:val="00180B55"/>
    <w:rsid w:val="00181320"/>
    <w:rsid w:val="00182365"/>
    <w:rsid w:val="00190910"/>
    <w:rsid w:val="00190B5C"/>
    <w:rsid w:val="00192BD7"/>
    <w:rsid w:val="0019633C"/>
    <w:rsid w:val="00197446"/>
    <w:rsid w:val="001A0CE8"/>
    <w:rsid w:val="001A35F7"/>
    <w:rsid w:val="001A368C"/>
    <w:rsid w:val="001A3C53"/>
    <w:rsid w:val="001A3EB5"/>
    <w:rsid w:val="001A3EDE"/>
    <w:rsid w:val="001A7BC4"/>
    <w:rsid w:val="001B1681"/>
    <w:rsid w:val="001B232E"/>
    <w:rsid w:val="001B236F"/>
    <w:rsid w:val="001B5281"/>
    <w:rsid w:val="001B5FA3"/>
    <w:rsid w:val="001B6981"/>
    <w:rsid w:val="001B796D"/>
    <w:rsid w:val="001C0AE4"/>
    <w:rsid w:val="001C436D"/>
    <w:rsid w:val="001C43B5"/>
    <w:rsid w:val="001C586A"/>
    <w:rsid w:val="001C69ED"/>
    <w:rsid w:val="001C6D8F"/>
    <w:rsid w:val="001C7F40"/>
    <w:rsid w:val="001D01DF"/>
    <w:rsid w:val="001D1323"/>
    <w:rsid w:val="001D1889"/>
    <w:rsid w:val="001D328C"/>
    <w:rsid w:val="001D6275"/>
    <w:rsid w:val="001D735E"/>
    <w:rsid w:val="001D75CD"/>
    <w:rsid w:val="001D7777"/>
    <w:rsid w:val="001E14DC"/>
    <w:rsid w:val="001E1567"/>
    <w:rsid w:val="001E3E01"/>
    <w:rsid w:val="001E5DD4"/>
    <w:rsid w:val="001E6849"/>
    <w:rsid w:val="001E7EA3"/>
    <w:rsid w:val="001F345D"/>
    <w:rsid w:val="001F5290"/>
    <w:rsid w:val="001F5A35"/>
    <w:rsid w:val="001F6064"/>
    <w:rsid w:val="001F6855"/>
    <w:rsid w:val="001F6DA4"/>
    <w:rsid w:val="001F76DB"/>
    <w:rsid w:val="00200EFD"/>
    <w:rsid w:val="002010BC"/>
    <w:rsid w:val="0020136C"/>
    <w:rsid w:val="002045EA"/>
    <w:rsid w:val="00204C4A"/>
    <w:rsid w:val="002052BE"/>
    <w:rsid w:val="00206690"/>
    <w:rsid w:val="0021037F"/>
    <w:rsid w:val="002103C1"/>
    <w:rsid w:val="002137BE"/>
    <w:rsid w:val="0021392F"/>
    <w:rsid w:val="002140CF"/>
    <w:rsid w:val="002140D8"/>
    <w:rsid w:val="00214A94"/>
    <w:rsid w:val="00215824"/>
    <w:rsid w:val="002166FA"/>
    <w:rsid w:val="00216C56"/>
    <w:rsid w:val="0021707D"/>
    <w:rsid w:val="00220483"/>
    <w:rsid w:val="0022084D"/>
    <w:rsid w:val="00220DF3"/>
    <w:rsid w:val="002220F6"/>
    <w:rsid w:val="00222EB0"/>
    <w:rsid w:val="0022355D"/>
    <w:rsid w:val="00224040"/>
    <w:rsid w:val="00224147"/>
    <w:rsid w:val="0022439F"/>
    <w:rsid w:val="00226F12"/>
    <w:rsid w:val="0023028B"/>
    <w:rsid w:val="002316B7"/>
    <w:rsid w:val="00235010"/>
    <w:rsid w:val="00236D56"/>
    <w:rsid w:val="00237E75"/>
    <w:rsid w:val="002428FF"/>
    <w:rsid w:val="00242AFD"/>
    <w:rsid w:val="00245352"/>
    <w:rsid w:val="00245F32"/>
    <w:rsid w:val="00247742"/>
    <w:rsid w:val="00251358"/>
    <w:rsid w:val="0025354C"/>
    <w:rsid w:val="00256678"/>
    <w:rsid w:val="00257070"/>
    <w:rsid w:val="0026223F"/>
    <w:rsid w:val="0026233C"/>
    <w:rsid w:val="0026342D"/>
    <w:rsid w:val="00264224"/>
    <w:rsid w:val="00265878"/>
    <w:rsid w:val="002669DB"/>
    <w:rsid w:val="002678DD"/>
    <w:rsid w:val="00267B54"/>
    <w:rsid w:val="00270AF8"/>
    <w:rsid w:val="00271879"/>
    <w:rsid w:val="00275090"/>
    <w:rsid w:val="002802D2"/>
    <w:rsid w:val="00281BDD"/>
    <w:rsid w:val="00282903"/>
    <w:rsid w:val="0028300F"/>
    <w:rsid w:val="0028529E"/>
    <w:rsid w:val="00290500"/>
    <w:rsid w:val="0029229C"/>
    <w:rsid w:val="00292AD6"/>
    <w:rsid w:val="00294488"/>
    <w:rsid w:val="00294F1E"/>
    <w:rsid w:val="00295286"/>
    <w:rsid w:val="00295FDC"/>
    <w:rsid w:val="0029604E"/>
    <w:rsid w:val="002963BC"/>
    <w:rsid w:val="002A04DB"/>
    <w:rsid w:val="002A05F8"/>
    <w:rsid w:val="002A0EE7"/>
    <w:rsid w:val="002A1DED"/>
    <w:rsid w:val="002A1ED7"/>
    <w:rsid w:val="002A452E"/>
    <w:rsid w:val="002A69F6"/>
    <w:rsid w:val="002A7176"/>
    <w:rsid w:val="002B112B"/>
    <w:rsid w:val="002B190E"/>
    <w:rsid w:val="002B2343"/>
    <w:rsid w:val="002B2777"/>
    <w:rsid w:val="002B7A47"/>
    <w:rsid w:val="002C293B"/>
    <w:rsid w:val="002C5979"/>
    <w:rsid w:val="002C667B"/>
    <w:rsid w:val="002C79F6"/>
    <w:rsid w:val="002D00D5"/>
    <w:rsid w:val="002D1241"/>
    <w:rsid w:val="002D3AF1"/>
    <w:rsid w:val="002E1618"/>
    <w:rsid w:val="002E3E9F"/>
    <w:rsid w:val="002E5373"/>
    <w:rsid w:val="002E5E4E"/>
    <w:rsid w:val="002E792F"/>
    <w:rsid w:val="002F07E9"/>
    <w:rsid w:val="002F0EDC"/>
    <w:rsid w:val="002F1C37"/>
    <w:rsid w:val="002F7604"/>
    <w:rsid w:val="002F7853"/>
    <w:rsid w:val="002F78BD"/>
    <w:rsid w:val="002F7CF4"/>
    <w:rsid w:val="003001CF"/>
    <w:rsid w:val="003018F7"/>
    <w:rsid w:val="00302648"/>
    <w:rsid w:val="00304155"/>
    <w:rsid w:val="00306347"/>
    <w:rsid w:val="003102BA"/>
    <w:rsid w:val="00312B2A"/>
    <w:rsid w:val="00313459"/>
    <w:rsid w:val="00314E9E"/>
    <w:rsid w:val="00315C61"/>
    <w:rsid w:val="00315E67"/>
    <w:rsid w:val="00316D18"/>
    <w:rsid w:val="00317A16"/>
    <w:rsid w:val="00323594"/>
    <w:rsid w:val="003247B9"/>
    <w:rsid w:val="00325703"/>
    <w:rsid w:val="00327FAD"/>
    <w:rsid w:val="00330574"/>
    <w:rsid w:val="003319E3"/>
    <w:rsid w:val="00331F3D"/>
    <w:rsid w:val="00332A67"/>
    <w:rsid w:val="00333F1D"/>
    <w:rsid w:val="00336B22"/>
    <w:rsid w:val="00336D04"/>
    <w:rsid w:val="00336FE1"/>
    <w:rsid w:val="00340685"/>
    <w:rsid w:val="003422A9"/>
    <w:rsid w:val="00342B1E"/>
    <w:rsid w:val="00344BEE"/>
    <w:rsid w:val="00346317"/>
    <w:rsid w:val="00350DEA"/>
    <w:rsid w:val="003530C5"/>
    <w:rsid w:val="00355240"/>
    <w:rsid w:val="003570D8"/>
    <w:rsid w:val="00357D61"/>
    <w:rsid w:val="0036009E"/>
    <w:rsid w:val="00360684"/>
    <w:rsid w:val="00360E8E"/>
    <w:rsid w:val="003611A8"/>
    <w:rsid w:val="0036123E"/>
    <w:rsid w:val="00363066"/>
    <w:rsid w:val="00371B13"/>
    <w:rsid w:val="00372810"/>
    <w:rsid w:val="003770C7"/>
    <w:rsid w:val="0037719B"/>
    <w:rsid w:val="00380BB0"/>
    <w:rsid w:val="00380D5A"/>
    <w:rsid w:val="00380EB5"/>
    <w:rsid w:val="0038208F"/>
    <w:rsid w:val="00384420"/>
    <w:rsid w:val="0038564B"/>
    <w:rsid w:val="003903E3"/>
    <w:rsid w:val="003913F0"/>
    <w:rsid w:val="00392691"/>
    <w:rsid w:val="00392F1C"/>
    <w:rsid w:val="003958FD"/>
    <w:rsid w:val="00395F25"/>
    <w:rsid w:val="003A09FD"/>
    <w:rsid w:val="003A29DE"/>
    <w:rsid w:val="003A3CA9"/>
    <w:rsid w:val="003A4168"/>
    <w:rsid w:val="003A5412"/>
    <w:rsid w:val="003A54DB"/>
    <w:rsid w:val="003A6062"/>
    <w:rsid w:val="003A7B14"/>
    <w:rsid w:val="003B3200"/>
    <w:rsid w:val="003B32E3"/>
    <w:rsid w:val="003B3D8A"/>
    <w:rsid w:val="003B42C6"/>
    <w:rsid w:val="003B4FE4"/>
    <w:rsid w:val="003C0386"/>
    <w:rsid w:val="003C0792"/>
    <w:rsid w:val="003C0A11"/>
    <w:rsid w:val="003C0DA0"/>
    <w:rsid w:val="003C5DAC"/>
    <w:rsid w:val="003C730F"/>
    <w:rsid w:val="003D010F"/>
    <w:rsid w:val="003D3543"/>
    <w:rsid w:val="003D3ABF"/>
    <w:rsid w:val="003D5597"/>
    <w:rsid w:val="003D5CA0"/>
    <w:rsid w:val="003D61DD"/>
    <w:rsid w:val="003D7775"/>
    <w:rsid w:val="003E0FD8"/>
    <w:rsid w:val="003E4469"/>
    <w:rsid w:val="003F0225"/>
    <w:rsid w:val="003F4E5F"/>
    <w:rsid w:val="003F5E8A"/>
    <w:rsid w:val="004002C1"/>
    <w:rsid w:val="00401638"/>
    <w:rsid w:val="00401FD1"/>
    <w:rsid w:val="00406782"/>
    <w:rsid w:val="00407B6E"/>
    <w:rsid w:val="00410789"/>
    <w:rsid w:val="00411D13"/>
    <w:rsid w:val="00412BB8"/>
    <w:rsid w:val="004148F8"/>
    <w:rsid w:val="0041595F"/>
    <w:rsid w:val="00415A2B"/>
    <w:rsid w:val="00415B16"/>
    <w:rsid w:val="00416796"/>
    <w:rsid w:val="00416C1B"/>
    <w:rsid w:val="00416E30"/>
    <w:rsid w:val="00422B22"/>
    <w:rsid w:val="00422ED4"/>
    <w:rsid w:val="0042331F"/>
    <w:rsid w:val="0042580B"/>
    <w:rsid w:val="00426909"/>
    <w:rsid w:val="004271EF"/>
    <w:rsid w:val="00430559"/>
    <w:rsid w:val="00432138"/>
    <w:rsid w:val="00432546"/>
    <w:rsid w:val="00432DDA"/>
    <w:rsid w:val="00433CAD"/>
    <w:rsid w:val="00436211"/>
    <w:rsid w:val="0044037B"/>
    <w:rsid w:val="004422E1"/>
    <w:rsid w:val="00442BEA"/>
    <w:rsid w:val="00443407"/>
    <w:rsid w:val="00446F3A"/>
    <w:rsid w:val="00451491"/>
    <w:rsid w:val="00452A7D"/>
    <w:rsid w:val="004563B2"/>
    <w:rsid w:val="00456F24"/>
    <w:rsid w:val="00456FE6"/>
    <w:rsid w:val="004648E5"/>
    <w:rsid w:val="00466CDC"/>
    <w:rsid w:val="004670BA"/>
    <w:rsid w:val="0047035B"/>
    <w:rsid w:val="004707C9"/>
    <w:rsid w:val="00472AA6"/>
    <w:rsid w:val="004730AE"/>
    <w:rsid w:val="004735E9"/>
    <w:rsid w:val="00473DA3"/>
    <w:rsid w:val="004756FE"/>
    <w:rsid w:val="004757F9"/>
    <w:rsid w:val="00475856"/>
    <w:rsid w:val="0047618E"/>
    <w:rsid w:val="00476FEC"/>
    <w:rsid w:val="004770B4"/>
    <w:rsid w:val="00480ADB"/>
    <w:rsid w:val="004813F7"/>
    <w:rsid w:val="00482441"/>
    <w:rsid w:val="00484A69"/>
    <w:rsid w:val="0048562D"/>
    <w:rsid w:val="00486B4A"/>
    <w:rsid w:val="00490890"/>
    <w:rsid w:val="004918FD"/>
    <w:rsid w:val="00493354"/>
    <w:rsid w:val="00497655"/>
    <w:rsid w:val="004A1974"/>
    <w:rsid w:val="004A1B93"/>
    <w:rsid w:val="004A22B3"/>
    <w:rsid w:val="004A276A"/>
    <w:rsid w:val="004A27F8"/>
    <w:rsid w:val="004A4E91"/>
    <w:rsid w:val="004A5289"/>
    <w:rsid w:val="004A55B2"/>
    <w:rsid w:val="004A55BD"/>
    <w:rsid w:val="004A5A3E"/>
    <w:rsid w:val="004B00B2"/>
    <w:rsid w:val="004B034D"/>
    <w:rsid w:val="004B05C2"/>
    <w:rsid w:val="004B1AA9"/>
    <w:rsid w:val="004B1AE8"/>
    <w:rsid w:val="004B22A6"/>
    <w:rsid w:val="004B2A16"/>
    <w:rsid w:val="004B353B"/>
    <w:rsid w:val="004B77ED"/>
    <w:rsid w:val="004C1BB7"/>
    <w:rsid w:val="004C2358"/>
    <w:rsid w:val="004C602E"/>
    <w:rsid w:val="004C6C3F"/>
    <w:rsid w:val="004D0001"/>
    <w:rsid w:val="004D05A4"/>
    <w:rsid w:val="004D2B5A"/>
    <w:rsid w:val="004D2FAE"/>
    <w:rsid w:val="004D37D9"/>
    <w:rsid w:val="004D53E2"/>
    <w:rsid w:val="004E045E"/>
    <w:rsid w:val="004E2003"/>
    <w:rsid w:val="004E34B5"/>
    <w:rsid w:val="004E4451"/>
    <w:rsid w:val="004E4AB6"/>
    <w:rsid w:val="004E5B19"/>
    <w:rsid w:val="004E6476"/>
    <w:rsid w:val="004F2EF7"/>
    <w:rsid w:val="004F4E03"/>
    <w:rsid w:val="004F4E3A"/>
    <w:rsid w:val="004F4E6A"/>
    <w:rsid w:val="004F632C"/>
    <w:rsid w:val="00501FED"/>
    <w:rsid w:val="0050495F"/>
    <w:rsid w:val="00504D06"/>
    <w:rsid w:val="00505CF1"/>
    <w:rsid w:val="00506344"/>
    <w:rsid w:val="005063E2"/>
    <w:rsid w:val="005075C4"/>
    <w:rsid w:val="00511CF8"/>
    <w:rsid w:val="00517738"/>
    <w:rsid w:val="00517C76"/>
    <w:rsid w:val="00521D36"/>
    <w:rsid w:val="00523D39"/>
    <w:rsid w:val="00525073"/>
    <w:rsid w:val="0052522F"/>
    <w:rsid w:val="00526832"/>
    <w:rsid w:val="00527BE2"/>
    <w:rsid w:val="00527C67"/>
    <w:rsid w:val="0053488A"/>
    <w:rsid w:val="00534AB0"/>
    <w:rsid w:val="005355AE"/>
    <w:rsid w:val="00544048"/>
    <w:rsid w:val="0054409A"/>
    <w:rsid w:val="00552ABE"/>
    <w:rsid w:val="00553517"/>
    <w:rsid w:val="005537DE"/>
    <w:rsid w:val="005550A0"/>
    <w:rsid w:val="0055528E"/>
    <w:rsid w:val="00555808"/>
    <w:rsid w:val="00555C9A"/>
    <w:rsid w:val="005633B2"/>
    <w:rsid w:val="005645AA"/>
    <w:rsid w:val="00564F93"/>
    <w:rsid w:val="00566C60"/>
    <w:rsid w:val="00567AB2"/>
    <w:rsid w:val="00567E6D"/>
    <w:rsid w:val="00572219"/>
    <w:rsid w:val="0057299E"/>
    <w:rsid w:val="005735B2"/>
    <w:rsid w:val="00575FE2"/>
    <w:rsid w:val="005768CC"/>
    <w:rsid w:val="00576B02"/>
    <w:rsid w:val="00576BF2"/>
    <w:rsid w:val="0058062E"/>
    <w:rsid w:val="005813FC"/>
    <w:rsid w:val="00582E9D"/>
    <w:rsid w:val="00584AFF"/>
    <w:rsid w:val="00586EDE"/>
    <w:rsid w:val="00586EE6"/>
    <w:rsid w:val="00587BF5"/>
    <w:rsid w:val="00590FF3"/>
    <w:rsid w:val="00591049"/>
    <w:rsid w:val="0059296C"/>
    <w:rsid w:val="005935FE"/>
    <w:rsid w:val="00593B26"/>
    <w:rsid w:val="00594305"/>
    <w:rsid w:val="00594FC3"/>
    <w:rsid w:val="00595909"/>
    <w:rsid w:val="00595EB6"/>
    <w:rsid w:val="005A1AB2"/>
    <w:rsid w:val="005A36D7"/>
    <w:rsid w:val="005A64F6"/>
    <w:rsid w:val="005B030E"/>
    <w:rsid w:val="005B0E4B"/>
    <w:rsid w:val="005B2CD4"/>
    <w:rsid w:val="005B3681"/>
    <w:rsid w:val="005C176B"/>
    <w:rsid w:val="005C31F3"/>
    <w:rsid w:val="005C361D"/>
    <w:rsid w:val="005C3DA5"/>
    <w:rsid w:val="005C5515"/>
    <w:rsid w:val="005C771F"/>
    <w:rsid w:val="005D06DD"/>
    <w:rsid w:val="005D765C"/>
    <w:rsid w:val="005D78D1"/>
    <w:rsid w:val="005E2129"/>
    <w:rsid w:val="005E4D94"/>
    <w:rsid w:val="005F01D9"/>
    <w:rsid w:val="005F2796"/>
    <w:rsid w:val="005F4EF1"/>
    <w:rsid w:val="005F6171"/>
    <w:rsid w:val="005F7336"/>
    <w:rsid w:val="005F7C32"/>
    <w:rsid w:val="00601AEE"/>
    <w:rsid w:val="00606B42"/>
    <w:rsid w:val="00607B3F"/>
    <w:rsid w:val="00610419"/>
    <w:rsid w:val="00611EEE"/>
    <w:rsid w:val="00612373"/>
    <w:rsid w:val="00615CA2"/>
    <w:rsid w:val="006162DD"/>
    <w:rsid w:val="00616B00"/>
    <w:rsid w:val="00617191"/>
    <w:rsid w:val="00617CF7"/>
    <w:rsid w:val="00621730"/>
    <w:rsid w:val="0062280C"/>
    <w:rsid w:val="006230A9"/>
    <w:rsid w:val="006231AB"/>
    <w:rsid w:val="0062542F"/>
    <w:rsid w:val="006265EB"/>
    <w:rsid w:val="0062703C"/>
    <w:rsid w:val="006275AA"/>
    <w:rsid w:val="00631FFA"/>
    <w:rsid w:val="006400EF"/>
    <w:rsid w:val="00640E01"/>
    <w:rsid w:val="00640FC0"/>
    <w:rsid w:val="00641C93"/>
    <w:rsid w:val="00642FD9"/>
    <w:rsid w:val="00643053"/>
    <w:rsid w:val="0064596F"/>
    <w:rsid w:val="006461FA"/>
    <w:rsid w:val="00646FA8"/>
    <w:rsid w:val="00647779"/>
    <w:rsid w:val="006507D1"/>
    <w:rsid w:val="00652324"/>
    <w:rsid w:val="006526DA"/>
    <w:rsid w:val="00655BFB"/>
    <w:rsid w:val="006568D4"/>
    <w:rsid w:val="0066022F"/>
    <w:rsid w:val="00660332"/>
    <w:rsid w:val="0066095C"/>
    <w:rsid w:val="00662C3F"/>
    <w:rsid w:val="00663278"/>
    <w:rsid w:val="006637B3"/>
    <w:rsid w:val="00665338"/>
    <w:rsid w:val="0066777D"/>
    <w:rsid w:val="006718B7"/>
    <w:rsid w:val="006734B4"/>
    <w:rsid w:val="00674AF6"/>
    <w:rsid w:val="00674C3A"/>
    <w:rsid w:val="00674F34"/>
    <w:rsid w:val="00677696"/>
    <w:rsid w:val="00680191"/>
    <w:rsid w:val="006812CB"/>
    <w:rsid w:val="0068243F"/>
    <w:rsid w:val="00683589"/>
    <w:rsid w:val="00685C1D"/>
    <w:rsid w:val="00687CBB"/>
    <w:rsid w:val="006912AB"/>
    <w:rsid w:val="006A0687"/>
    <w:rsid w:val="006A2A41"/>
    <w:rsid w:val="006A37F9"/>
    <w:rsid w:val="006A5983"/>
    <w:rsid w:val="006A6056"/>
    <w:rsid w:val="006A72DD"/>
    <w:rsid w:val="006A7719"/>
    <w:rsid w:val="006B0914"/>
    <w:rsid w:val="006B0CB0"/>
    <w:rsid w:val="006B2BBC"/>
    <w:rsid w:val="006B402B"/>
    <w:rsid w:val="006B42D1"/>
    <w:rsid w:val="006B52BB"/>
    <w:rsid w:val="006B678E"/>
    <w:rsid w:val="006C10DA"/>
    <w:rsid w:val="006C36C2"/>
    <w:rsid w:val="006C6213"/>
    <w:rsid w:val="006C6C44"/>
    <w:rsid w:val="006C7961"/>
    <w:rsid w:val="006D1279"/>
    <w:rsid w:val="006D210F"/>
    <w:rsid w:val="006D2A94"/>
    <w:rsid w:val="006D3E0D"/>
    <w:rsid w:val="006D3FE7"/>
    <w:rsid w:val="006D4CBB"/>
    <w:rsid w:val="006D6265"/>
    <w:rsid w:val="006D7E39"/>
    <w:rsid w:val="006E35BD"/>
    <w:rsid w:val="006E3745"/>
    <w:rsid w:val="006E644B"/>
    <w:rsid w:val="006E65FF"/>
    <w:rsid w:val="006E75A6"/>
    <w:rsid w:val="006E794F"/>
    <w:rsid w:val="006F0ECC"/>
    <w:rsid w:val="006F1165"/>
    <w:rsid w:val="006F2093"/>
    <w:rsid w:val="006F292D"/>
    <w:rsid w:val="006F42C2"/>
    <w:rsid w:val="006F5B19"/>
    <w:rsid w:val="00700DB7"/>
    <w:rsid w:val="00701690"/>
    <w:rsid w:val="0070368B"/>
    <w:rsid w:val="007069BB"/>
    <w:rsid w:val="00711FF0"/>
    <w:rsid w:val="00712141"/>
    <w:rsid w:val="007144F4"/>
    <w:rsid w:val="007164B9"/>
    <w:rsid w:val="007164FB"/>
    <w:rsid w:val="00721D23"/>
    <w:rsid w:val="00721FD5"/>
    <w:rsid w:val="0072376D"/>
    <w:rsid w:val="0072529B"/>
    <w:rsid w:val="00725E29"/>
    <w:rsid w:val="007260CA"/>
    <w:rsid w:val="007303B8"/>
    <w:rsid w:val="00733008"/>
    <w:rsid w:val="007332DE"/>
    <w:rsid w:val="00737AE4"/>
    <w:rsid w:val="00740AAD"/>
    <w:rsid w:val="00742385"/>
    <w:rsid w:val="00745ADA"/>
    <w:rsid w:val="00746629"/>
    <w:rsid w:val="00747577"/>
    <w:rsid w:val="007517B2"/>
    <w:rsid w:val="0075193E"/>
    <w:rsid w:val="00752483"/>
    <w:rsid w:val="007527F6"/>
    <w:rsid w:val="007534DB"/>
    <w:rsid w:val="00753CF7"/>
    <w:rsid w:val="00754ECE"/>
    <w:rsid w:val="00757405"/>
    <w:rsid w:val="00760E60"/>
    <w:rsid w:val="0076159F"/>
    <w:rsid w:val="00764F3C"/>
    <w:rsid w:val="00766BBE"/>
    <w:rsid w:val="00770632"/>
    <w:rsid w:val="00770B22"/>
    <w:rsid w:val="0077352A"/>
    <w:rsid w:val="00773980"/>
    <w:rsid w:val="007741CD"/>
    <w:rsid w:val="00774A71"/>
    <w:rsid w:val="00774FF8"/>
    <w:rsid w:val="00775F80"/>
    <w:rsid w:val="00775F81"/>
    <w:rsid w:val="00782A04"/>
    <w:rsid w:val="00783418"/>
    <w:rsid w:val="007835AD"/>
    <w:rsid w:val="00787B1F"/>
    <w:rsid w:val="007916DF"/>
    <w:rsid w:val="0079195B"/>
    <w:rsid w:val="007919A3"/>
    <w:rsid w:val="00791C06"/>
    <w:rsid w:val="0079556B"/>
    <w:rsid w:val="007959AF"/>
    <w:rsid w:val="00796335"/>
    <w:rsid w:val="007A00C5"/>
    <w:rsid w:val="007A0E2B"/>
    <w:rsid w:val="007A1B95"/>
    <w:rsid w:val="007A243D"/>
    <w:rsid w:val="007A3691"/>
    <w:rsid w:val="007A46C8"/>
    <w:rsid w:val="007A493E"/>
    <w:rsid w:val="007A4D7E"/>
    <w:rsid w:val="007A61AE"/>
    <w:rsid w:val="007A6CE0"/>
    <w:rsid w:val="007A73F1"/>
    <w:rsid w:val="007A7771"/>
    <w:rsid w:val="007A7B33"/>
    <w:rsid w:val="007A7E11"/>
    <w:rsid w:val="007B0A9C"/>
    <w:rsid w:val="007B174C"/>
    <w:rsid w:val="007B1F4F"/>
    <w:rsid w:val="007B244B"/>
    <w:rsid w:val="007B3344"/>
    <w:rsid w:val="007B407E"/>
    <w:rsid w:val="007B4F58"/>
    <w:rsid w:val="007C1885"/>
    <w:rsid w:val="007C1BA0"/>
    <w:rsid w:val="007C1C0A"/>
    <w:rsid w:val="007C3278"/>
    <w:rsid w:val="007C3A3B"/>
    <w:rsid w:val="007C41E1"/>
    <w:rsid w:val="007C4A27"/>
    <w:rsid w:val="007C63C4"/>
    <w:rsid w:val="007C67A8"/>
    <w:rsid w:val="007C6A57"/>
    <w:rsid w:val="007D4241"/>
    <w:rsid w:val="007D493E"/>
    <w:rsid w:val="007D49BB"/>
    <w:rsid w:val="007D50E5"/>
    <w:rsid w:val="007D5AE9"/>
    <w:rsid w:val="007E01E1"/>
    <w:rsid w:val="007E04A2"/>
    <w:rsid w:val="007E0DD6"/>
    <w:rsid w:val="007E25A3"/>
    <w:rsid w:val="007E2840"/>
    <w:rsid w:val="007E4AD3"/>
    <w:rsid w:val="007E7945"/>
    <w:rsid w:val="007F2486"/>
    <w:rsid w:val="007F7679"/>
    <w:rsid w:val="007F796B"/>
    <w:rsid w:val="0080486D"/>
    <w:rsid w:val="00805493"/>
    <w:rsid w:val="008073F7"/>
    <w:rsid w:val="008149ED"/>
    <w:rsid w:val="008203D2"/>
    <w:rsid w:val="00820AB7"/>
    <w:rsid w:val="0082111A"/>
    <w:rsid w:val="00821D6E"/>
    <w:rsid w:val="00823BB0"/>
    <w:rsid w:val="00826C16"/>
    <w:rsid w:val="0083061C"/>
    <w:rsid w:val="00830995"/>
    <w:rsid w:val="008310EE"/>
    <w:rsid w:val="008322B8"/>
    <w:rsid w:val="00832878"/>
    <w:rsid w:val="00832B54"/>
    <w:rsid w:val="00832ECA"/>
    <w:rsid w:val="008339C6"/>
    <w:rsid w:val="008361FB"/>
    <w:rsid w:val="00836356"/>
    <w:rsid w:val="00836DD7"/>
    <w:rsid w:val="008374B1"/>
    <w:rsid w:val="00837A0C"/>
    <w:rsid w:val="00840B80"/>
    <w:rsid w:val="00841C7D"/>
    <w:rsid w:val="00842651"/>
    <w:rsid w:val="00843D0D"/>
    <w:rsid w:val="00845950"/>
    <w:rsid w:val="008517AE"/>
    <w:rsid w:val="00851896"/>
    <w:rsid w:val="0085205A"/>
    <w:rsid w:val="00852839"/>
    <w:rsid w:val="00854165"/>
    <w:rsid w:val="008565DA"/>
    <w:rsid w:val="00856BE7"/>
    <w:rsid w:val="00857730"/>
    <w:rsid w:val="00857C9F"/>
    <w:rsid w:val="00860505"/>
    <w:rsid w:val="00860B75"/>
    <w:rsid w:val="00862B68"/>
    <w:rsid w:val="0086411B"/>
    <w:rsid w:val="0086665C"/>
    <w:rsid w:val="008710F2"/>
    <w:rsid w:val="00875631"/>
    <w:rsid w:val="00875F96"/>
    <w:rsid w:val="008767A9"/>
    <w:rsid w:val="00876998"/>
    <w:rsid w:val="00876A75"/>
    <w:rsid w:val="0087741D"/>
    <w:rsid w:val="00882B46"/>
    <w:rsid w:val="00883F82"/>
    <w:rsid w:val="00885D0A"/>
    <w:rsid w:val="00891775"/>
    <w:rsid w:val="00891951"/>
    <w:rsid w:val="0089281F"/>
    <w:rsid w:val="0089368F"/>
    <w:rsid w:val="00894DA4"/>
    <w:rsid w:val="00895441"/>
    <w:rsid w:val="00897AE2"/>
    <w:rsid w:val="008A1198"/>
    <w:rsid w:val="008A16C7"/>
    <w:rsid w:val="008A1FC1"/>
    <w:rsid w:val="008A2069"/>
    <w:rsid w:val="008A31AB"/>
    <w:rsid w:val="008A3431"/>
    <w:rsid w:val="008A37BF"/>
    <w:rsid w:val="008A4020"/>
    <w:rsid w:val="008A64E8"/>
    <w:rsid w:val="008B0970"/>
    <w:rsid w:val="008B11F2"/>
    <w:rsid w:val="008B5BED"/>
    <w:rsid w:val="008B7C55"/>
    <w:rsid w:val="008C0F4D"/>
    <w:rsid w:val="008C0F68"/>
    <w:rsid w:val="008C48DA"/>
    <w:rsid w:val="008C5684"/>
    <w:rsid w:val="008C654B"/>
    <w:rsid w:val="008C6BCA"/>
    <w:rsid w:val="008C6E8B"/>
    <w:rsid w:val="008C7550"/>
    <w:rsid w:val="008C7983"/>
    <w:rsid w:val="008C7EB9"/>
    <w:rsid w:val="008C7EC8"/>
    <w:rsid w:val="008D0FFD"/>
    <w:rsid w:val="008D19C7"/>
    <w:rsid w:val="008D1FF5"/>
    <w:rsid w:val="008D36F6"/>
    <w:rsid w:val="008E0C57"/>
    <w:rsid w:val="008E3E59"/>
    <w:rsid w:val="008E403C"/>
    <w:rsid w:val="008E46EB"/>
    <w:rsid w:val="008E525D"/>
    <w:rsid w:val="008E5D86"/>
    <w:rsid w:val="008E6156"/>
    <w:rsid w:val="008E6565"/>
    <w:rsid w:val="008F0689"/>
    <w:rsid w:val="008F29F8"/>
    <w:rsid w:val="008F2FEB"/>
    <w:rsid w:val="008F37A9"/>
    <w:rsid w:val="008F3EB1"/>
    <w:rsid w:val="008F45C8"/>
    <w:rsid w:val="008F4AF5"/>
    <w:rsid w:val="008F5EFC"/>
    <w:rsid w:val="00900F59"/>
    <w:rsid w:val="009010D0"/>
    <w:rsid w:val="00905624"/>
    <w:rsid w:val="0090597F"/>
    <w:rsid w:val="009127E4"/>
    <w:rsid w:val="00912D37"/>
    <w:rsid w:val="009144A2"/>
    <w:rsid w:val="00915305"/>
    <w:rsid w:val="0091584A"/>
    <w:rsid w:val="00915BDF"/>
    <w:rsid w:val="00917804"/>
    <w:rsid w:val="00920BFE"/>
    <w:rsid w:val="009220AD"/>
    <w:rsid w:val="00923EAB"/>
    <w:rsid w:val="00924F1A"/>
    <w:rsid w:val="00924FA4"/>
    <w:rsid w:val="00925447"/>
    <w:rsid w:val="00925D10"/>
    <w:rsid w:val="00925FAE"/>
    <w:rsid w:val="009275E5"/>
    <w:rsid w:val="0093094B"/>
    <w:rsid w:val="009312AE"/>
    <w:rsid w:val="00932605"/>
    <w:rsid w:val="009343FB"/>
    <w:rsid w:val="00935F67"/>
    <w:rsid w:val="00935FDB"/>
    <w:rsid w:val="0093693A"/>
    <w:rsid w:val="00937477"/>
    <w:rsid w:val="00937A22"/>
    <w:rsid w:val="00940C90"/>
    <w:rsid w:val="0094338D"/>
    <w:rsid w:val="0094342A"/>
    <w:rsid w:val="00944A1B"/>
    <w:rsid w:val="00952FF8"/>
    <w:rsid w:val="0095359D"/>
    <w:rsid w:val="009565C1"/>
    <w:rsid w:val="00960845"/>
    <w:rsid w:val="009608AB"/>
    <w:rsid w:val="00960CBA"/>
    <w:rsid w:val="009636F2"/>
    <w:rsid w:val="00963F82"/>
    <w:rsid w:val="009645A2"/>
    <w:rsid w:val="009671F5"/>
    <w:rsid w:val="009677B5"/>
    <w:rsid w:val="00967A48"/>
    <w:rsid w:val="00971B4F"/>
    <w:rsid w:val="009738C6"/>
    <w:rsid w:val="00974996"/>
    <w:rsid w:val="009766D9"/>
    <w:rsid w:val="00976D3F"/>
    <w:rsid w:val="009778FB"/>
    <w:rsid w:val="0098484C"/>
    <w:rsid w:val="00990553"/>
    <w:rsid w:val="00991F30"/>
    <w:rsid w:val="0099578F"/>
    <w:rsid w:val="009A0002"/>
    <w:rsid w:val="009A0286"/>
    <w:rsid w:val="009A17CF"/>
    <w:rsid w:val="009A2369"/>
    <w:rsid w:val="009A326B"/>
    <w:rsid w:val="009A5FAA"/>
    <w:rsid w:val="009B0912"/>
    <w:rsid w:val="009B3011"/>
    <w:rsid w:val="009B3F6C"/>
    <w:rsid w:val="009B4213"/>
    <w:rsid w:val="009B51B7"/>
    <w:rsid w:val="009B5ABC"/>
    <w:rsid w:val="009C48DC"/>
    <w:rsid w:val="009C7F74"/>
    <w:rsid w:val="009D07B0"/>
    <w:rsid w:val="009D089F"/>
    <w:rsid w:val="009D15D5"/>
    <w:rsid w:val="009D1802"/>
    <w:rsid w:val="009D3705"/>
    <w:rsid w:val="009D3DCE"/>
    <w:rsid w:val="009E1DFA"/>
    <w:rsid w:val="009E1FEE"/>
    <w:rsid w:val="009E2A91"/>
    <w:rsid w:val="009E32E7"/>
    <w:rsid w:val="009E7151"/>
    <w:rsid w:val="009E7DBD"/>
    <w:rsid w:val="009F4DE8"/>
    <w:rsid w:val="009F52B4"/>
    <w:rsid w:val="00A00825"/>
    <w:rsid w:val="00A01204"/>
    <w:rsid w:val="00A03A5F"/>
    <w:rsid w:val="00A03D46"/>
    <w:rsid w:val="00A0508B"/>
    <w:rsid w:val="00A05B28"/>
    <w:rsid w:val="00A06A61"/>
    <w:rsid w:val="00A14577"/>
    <w:rsid w:val="00A14D9B"/>
    <w:rsid w:val="00A14DDA"/>
    <w:rsid w:val="00A167FB"/>
    <w:rsid w:val="00A21BAC"/>
    <w:rsid w:val="00A23BA5"/>
    <w:rsid w:val="00A26337"/>
    <w:rsid w:val="00A26F75"/>
    <w:rsid w:val="00A307AE"/>
    <w:rsid w:val="00A31C9B"/>
    <w:rsid w:val="00A322EF"/>
    <w:rsid w:val="00A335C8"/>
    <w:rsid w:val="00A34CCD"/>
    <w:rsid w:val="00A34E90"/>
    <w:rsid w:val="00A376C8"/>
    <w:rsid w:val="00A378F3"/>
    <w:rsid w:val="00A43770"/>
    <w:rsid w:val="00A475F1"/>
    <w:rsid w:val="00A47AAA"/>
    <w:rsid w:val="00A51228"/>
    <w:rsid w:val="00A5130D"/>
    <w:rsid w:val="00A51AA8"/>
    <w:rsid w:val="00A55473"/>
    <w:rsid w:val="00A56F21"/>
    <w:rsid w:val="00A607D0"/>
    <w:rsid w:val="00A60EDC"/>
    <w:rsid w:val="00A621AE"/>
    <w:rsid w:val="00A62796"/>
    <w:rsid w:val="00A62E0E"/>
    <w:rsid w:val="00A64F69"/>
    <w:rsid w:val="00A65D57"/>
    <w:rsid w:val="00A65FE0"/>
    <w:rsid w:val="00A67198"/>
    <w:rsid w:val="00A70862"/>
    <w:rsid w:val="00A70D5A"/>
    <w:rsid w:val="00A71A6C"/>
    <w:rsid w:val="00A72ACD"/>
    <w:rsid w:val="00A72C3A"/>
    <w:rsid w:val="00A72FB9"/>
    <w:rsid w:val="00A741DC"/>
    <w:rsid w:val="00A74D00"/>
    <w:rsid w:val="00A76F43"/>
    <w:rsid w:val="00A80907"/>
    <w:rsid w:val="00A81210"/>
    <w:rsid w:val="00A81B04"/>
    <w:rsid w:val="00A8279C"/>
    <w:rsid w:val="00A82ACC"/>
    <w:rsid w:val="00A83961"/>
    <w:rsid w:val="00A86D2B"/>
    <w:rsid w:val="00A879E4"/>
    <w:rsid w:val="00A87BCF"/>
    <w:rsid w:val="00A92905"/>
    <w:rsid w:val="00A93088"/>
    <w:rsid w:val="00A9318A"/>
    <w:rsid w:val="00A94393"/>
    <w:rsid w:val="00A95E83"/>
    <w:rsid w:val="00A961F2"/>
    <w:rsid w:val="00A9736E"/>
    <w:rsid w:val="00AA037D"/>
    <w:rsid w:val="00AA3A50"/>
    <w:rsid w:val="00AA5DCF"/>
    <w:rsid w:val="00AB021E"/>
    <w:rsid w:val="00AB1FF0"/>
    <w:rsid w:val="00AB2B4D"/>
    <w:rsid w:val="00AB33DD"/>
    <w:rsid w:val="00AB47D5"/>
    <w:rsid w:val="00AB47DB"/>
    <w:rsid w:val="00AB49AD"/>
    <w:rsid w:val="00AB6040"/>
    <w:rsid w:val="00AB6417"/>
    <w:rsid w:val="00AB6EC4"/>
    <w:rsid w:val="00AC06CA"/>
    <w:rsid w:val="00AC23E1"/>
    <w:rsid w:val="00AC2503"/>
    <w:rsid w:val="00AD4150"/>
    <w:rsid w:val="00AD5CCB"/>
    <w:rsid w:val="00AD644C"/>
    <w:rsid w:val="00AD6B03"/>
    <w:rsid w:val="00AD75A8"/>
    <w:rsid w:val="00AD7ED1"/>
    <w:rsid w:val="00AE165D"/>
    <w:rsid w:val="00AE1C2B"/>
    <w:rsid w:val="00AE34B5"/>
    <w:rsid w:val="00AE37B5"/>
    <w:rsid w:val="00AE4491"/>
    <w:rsid w:val="00AE48FF"/>
    <w:rsid w:val="00AE4AE8"/>
    <w:rsid w:val="00AE593A"/>
    <w:rsid w:val="00AE73E5"/>
    <w:rsid w:val="00AF0302"/>
    <w:rsid w:val="00AF05BC"/>
    <w:rsid w:val="00AF1F6F"/>
    <w:rsid w:val="00AF241B"/>
    <w:rsid w:val="00AF3B5C"/>
    <w:rsid w:val="00AF4B25"/>
    <w:rsid w:val="00AF515F"/>
    <w:rsid w:val="00B005D1"/>
    <w:rsid w:val="00B010DC"/>
    <w:rsid w:val="00B04492"/>
    <w:rsid w:val="00B1012C"/>
    <w:rsid w:val="00B1562F"/>
    <w:rsid w:val="00B15AFB"/>
    <w:rsid w:val="00B21660"/>
    <w:rsid w:val="00B21F0D"/>
    <w:rsid w:val="00B2418F"/>
    <w:rsid w:val="00B25152"/>
    <w:rsid w:val="00B25D7F"/>
    <w:rsid w:val="00B25DA1"/>
    <w:rsid w:val="00B31AEC"/>
    <w:rsid w:val="00B33937"/>
    <w:rsid w:val="00B363E3"/>
    <w:rsid w:val="00B370B3"/>
    <w:rsid w:val="00B37873"/>
    <w:rsid w:val="00B40EC6"/>
    <w:rsid w:val="00B44189"/>
    <w:rsid w:val="00B45963"/>
    <w:rsid w:val="00B467AD"/>
    <w:rsid w:val="00B46EAC"/>
    <w:rsid w:val="00B521BE"/>
    <w:rsid w:val="00B5316B"/>
    <w:rsid w:val="00B54524"/>
    <w:rsid w:val="00B5461D"/>
    <w:rsid w:val="00B5566A"/>
    <w:rsid w:val="00B55C17"/>
    <w:rsid w:val="00B568CA"/>
    <w:rsid w:val="00B615D8"/>
    <w:rsid w:val="00B618AC"/>
    <w:rsid w:val="00B621AB"/>
    <w:rsid w:val="00B62302"/>
    <w:rsid w:val="00B6232D"/>
    <w:rsid w:val="00B64CB4"/>
    <w:rsid w:val="00B6690F"/>
    <w:rsid w:val="00B67B40"/>
    <w:rsid w:val="00B67BCA"/>
    <w:rsid w:val="00B72FA8"/>
    <w:rsid w:val="00B7536B"/>
    <w:rsid w:val="00B763A1"/>
    <w:rsid w:val="00B826EB"/>
    <w:rsid w:val="00B84751"/>
    <w:rsid w:val="00B8494A"/>
    <w:rsid w:val="00B870C1"/>
    <w:rsid w:val="00B9069B"/>
    <w:rsid w:val="00B91D9C"/>
    <w:rsid w:val="00B93A30"/>
    <w:rsid w:val="00B94AB3"/>
    <w:rsid w:val="00BA2005"/>
    <w:rsid w:val="00BA28A7"/>
    <w:rsid w:val="00BA3266"/>
    <w:rsid w:val="00BA60DC"/>
    <w:rsid w:val="00BA6B34"/>
    <w:rsid w:val="00BB04EE"/>
    <w:rsid w:val="00BB403C"/>
    <w:rsid w:val="00BB4E1C"/>
    <w:rsid w:val="00BC18BD"/>
    <w:rsid w:val="00BC1FCD"/>
    <w:rsid w:val="00BC36E9"/>
    <w:rsid w:val="00BC3715"/>
    <w:rsid w:val="00BC5266"/>
    <w:rsid w:val="00BC5BFA"/>
    <w:rsid w:val="00BC67BD"/>
    <w:rsid w:val="00BC6EAF"/>
    <w:rsid w:val="00BD09B6"/>
    <w:rsid w:val="00BD1F5E"/>
    <w:rsid w:val="00BD2187"/>
    <w:rsid w:val="00BD2C23"/>
    <w:rsid w:val="00BD32EC"/>
    <w:rsid w:val="00BD376E"/>
    <w:rsid w:val="00BD5308"/>
    <w:rsid w:val="00BD585E"/>
    <w:rsid w:val="00BD6FF8"/>
    <w:rsid w:val="00BE2B93"/>
    <w:rsid w:val="00BE3107"/>
    <w:rsid w:val="00BE4897"/>
    <w:rsid w:val="00BE5F12"/>
    <w:rsid w:val="00BE5F7A"/>
    <w:rsid w:val="00BE73AC"/>
    <w:rsid w:val="00BF31F8"/>
    <w:rsid w:val="00BF33BE"/>
    <w:rsid w:val="00BF38D6"/>
    <w:rsid w:val="00BF3C1E"/>
    <w:rsid w:val="00BF3E2A"/>
    <w:rsid w:val="00BF5967"/>
    <w:rsid w:val="00BF5E3C"/>
    <w:rsid w:val="00BF6395"/>
    <w:rsid w:val="00BF664F"/>
    <w:rsid w:val="00BF6B85"/>
    <w:rsid w:val="00BF7610"/>
    <w:rsid w:val="00C025CF"/>
    <w:rsid w:val="00C03838"/>
    <w:rsid w:val="00C046EE"/>
    <w:rsid w:val="00C0530B"/>
    <w:rsid w:val="00C068AF"/>
    <w:rsid w:val="00C10869"/>
    <w:rsid w:val="00C10C4D"/>
    <w:rsid w:val="00C13F06"/>
    <w:rsid w:val="00C16C53"/>
    <w:rsid w:val="00C20921"/>
    <w:rsid w:val="00C2092F"/>
    <w:rsid w:val="00C219A6"/>
    <w:rsid w:val="00C22CAC"/>
    <w:rsid w:val="00C2344D"/>
    <w:rsid w:val="00C24086"/>
    <w:rsid w:val="00C259E3"/>
    <w:rsid w:val="00C33CAD"/>
    <w:rsid w:val="00C3502E"/>
    <w:rsid w:val="00C40344"/>
    <w:rsid w:val="00C4048E"/>
    <w:rsid w:val="00C4121F"/>
    <w:rsid w:val="00C41547"/>
    <w:rsid w:val="00C41F3F"/>
    <w:rsid w:val="00C436F3"/>
    <w:rsid w:val="00C43896"/>
    <w:rsid w:val="00C4461E"/>
    <w:rsid w:val="00C44B4C"/>
    <w:rsid w:val="00C45EAC"/>
    <w:rsid w:val="00C46540"/>
    <w:rsid w:val="00C50448"/>
    <w:rsid w:val="00C5060F"/>
    <w:rsid w:val="00C506EA"/>
    <w:rsid w:val="00C512E0"/>
    <w:rsid w:val="00C51825"/>
    <w:rsid w:val="00C52073"/>
    <w:rsid w:val="00C52331"/>
    <w:rsid w:val="00C609E9"/>
    <w:rsid w:val="00C61B0B"/>
    <w:rsid w:val="00C61F68"/>
    <w:rsid w:val="00C62314"/>
    <w:rsid w:val="00C633D2"/>
    <w:rsid w:val="00C63AE6"/>
    <w:rsid w:val="00C700EA"/>
    <w:rsid w:val="00C74178"/>
    <w:rsid w:val="00C81540"/>
    <w:rsid w:val="00C81BA6"/>
    <w:rsid w:val="00C820D0"/>
    <w:rsid w:val="00C86C66"/>
    <w:rsid w:val="00C90238"/>
    <w:rsid w:val="00C91605"/>
    <w:rsid w:val="00C92A4B"/>
    <w:rsid w:val="00C9346F"/>
    <w:rsid w:val="00C93652"/>
    <w:rsid w:val="00C94455"/>
    <w:rsid w:val="00C9497A"/>
    <w:rsid w:val="00C94C33"/>
    <w:rsid w:val="00C957C9"/>
    <w:rsid w:val="00C9630F"/>
    <w:rsid w:val="00C963C8"/>
    <w:rsid w:val="00CA03B8"/>
    <w:rsid w:val="00CA0828"/>
    <w:rsid w:val="00CA102E"/>
    <w:rsid w:val="00CA40B0"/>
    <w:rsid w:val="00CA6D37"/>
    <w:rsid w:val="00CB271C"/>
    <w:rsid w:val="00CB2D6D"/>
    <w:rsid w:val="00CB3596"/>
    <w:rsid w:val="00CB40FF"/>
    <w:rsid w:val="00CB4639"/>
    <w:rsid w:val="00CB4FA8"/>
    <w:rsid w:val="00CB7034"/>
    <w:rsid w:val="00CC14CA"/>
    <w:rsid w:val="00CC1892"/>
    <w:rsid w:val="00CC28B5"/>
    <w:rsid w:val="00CC2B6F"/>
    <w:rsid w:val="00CC41B9"/>
    <w:rsid w:val="00CC6BF9"/>
    <w:rsid w:val="00CD05B6"/>
    <w:rsid w:val="00CD1289"/>
    <w:rsid w:val="00CD1563"/>
    <w:rsid w:val="00CD215C"/>
    <w:rsid w:val="00CD2B45"/>
    <w:rsid w:val="00CD30CA"/>
    <w:rsid w:val="00CD4451"/>
    <w:rsid w:val="00CD5423"/>
    <w:rsid w:val="00CD6589"/>
    <w:rsid w:val="00CD766D"/>
    <w:rsid w:val="00CD7D8D"/>
    <w:rsid w:val="00CE21FB"/>
    <w:rsid w:val="00CE2DB9"/>
    <w:rsid w:val="00CE4C45"/>
    <w:rsid w:val="00CE70F4"/>
    <w:rsid w:val="00CF3694"/>
    <w:rsid w:val="00CF4BFB"/>
    <w:rsid w:val="00CF64DE"/>
    <w:rsid w:val="00D003A7"/>
    <w:rsid w:val="00D01BBC"/>
    <w:rsid w:val="00D04A3B"/>
    <w:rsid w:val="00D0591C"/>
    <w:rsid w:val="00D059C4"/>
    <w:rsid w:val="00D067F1"/>
    <w:rsid w:val="00D06CD4"/>
    <w:rsid w:val="00D10662"/>
    <w:rsid w:val="00D149EA"/>
    <w:rsid w:val="00D17447"/>
    <w:rsid w:val="00D17BCF"/>
    <w:rsid w:val="00D2106F"/>
    <w:rsid w:val="00D266AA"/>
    <w:rsid w:val="00D2753C"/>
    <w:rsid w:val="00D31737"/>
    <w:rsid w:val="00D317CE"/>
    <w:rsid w:val="00D3260C"/>
    <w:rsid w:val="00D32E49"/>
    <w:rsid w:val="00D32EB9"/>
    <w:rsid w:val="00D35C13"/>
    <w:rsid w:val="00D36772"/>
    <w:rsid w:val="00D3709F"/>
    <w:rsid w:val="00D37FDF"/>
    <w:rsid w:val="00D44201"/>
    <w:rsid w:val="00D449A0"/>
    <w:rsid w:val="00D45301"/>
    <w:rsid w:val="00D51B3F"/>
    <w:rsid w:val="00D56306"/>
    <w:rsid w:val="00D57352"/>
    <w:rsid w:val="00D629FE"/>
    <w:rsid w:val="00D64930"/>
    <w:rsid w:val="00D6531C"/>
    <w:rsid w:val="00D66062"/>
    <w:rsid w:val="00D670CB"/>
    <w:rsid w:val="00D70611"/>
    <w:rsid w:val="00D71EB8"/>
    <w:rsid w:val="00D729CA"/>
    <w:rsid w:val="00D72A74"/>
    <w:rsid w:val="00D7510F"/>
    <w:rsid w:val="00D76291"/>
    <w:rsid w:val="00D80C4C"/>
    <w:rsid w:val="00D821D8"/>
    <w:rsid w:val="00D82C34"/>
    <w:rsid w:val="00D83C6D"/>
    <w:rsid w:val="00D83E69"/>
    <w:rsid w:val="00D852CF"/>
    <w:rsid w:val="00D856F4"/>
    <w:rsid w:val="00D856F8"/>
    <w:rsid w:val="00D87744"/>
    <w:rsid w:val="00D9153C"/>
    <w:rsid w:val="00D93A82"/>
    <w:rsid w:val="00D93A98"/>
    <w:rsid w:val="00D93FF7"/>
    <w:rsid w:val="00D941AB"/>
    <w:rsid w:val="00D960DF"/>
    <w:rsid w:val="00D9789E"/>
    <w:rsid w:val="00D97E6F"/>
    <w:rsid w:val="00DA00D5"/>
    <w:rsid w:val="00DA0622"/>
    <w:rsid w:val="00DA0667"/>
    <w:rsid w:val="00DA0EB1"/>
    <w:rsid w:val="00DA105E"/>
    <w:rsid w:val="00DA1465"/>
    <w:rsid w:val="00DA1609"/>
    <w:rsid w:val="00DA21F5"/>
    <w:rsid w:val="00DA35B9"/>
    <w:rsid w:val="00DA478B"/>
    <w:rsid w:val="00DA4A04"/>
    <w:rsid w:val="00DB09F4"/>
    <w:rsid w:val="00DB1E63"/>
    <w:rsid w:val="00DB2EB6"/>
    <w:rsid w:val="00DB347E"/>
    <w:rsid w:val="00DB58A0"/>
    <w:rsid w:val="00DB58CB"/>
    <w:rsid w:val="00DB69B6"/>
    <w:rsid w:val="00DB7B65"/>
    <w:rsid w:val="00DC5A62"/>
    <w:rsid w:val="00DC69E4"/>
    <w:rsid w:val="00DD19A5"/>
    <w:rsid w:val="00DD3D7D"/>
    <w:rsid w:val="00DD517B"/>
    <w:rsid w:val="00DD5BEF"/>
    <w:rsid w:val="00DD5EBE"/>
    <w:rsid w:val="00DE0422"/>
    <w:rsid w:val="00DE0530"/>
    <w:rsid w:val="00DE05A3"/>
    <w:rsid w:val="00DE0DF8"/>
    <w:rsid w:val="00DE43AF"/>
    <w:rsid w:val="00DE4C9C"/>
    <w:rsid w:val="00DF0E0A"/>
    <w:rsid w:val="00DF1864"/>
    <w:rsid w:val="00DF4C16"/>
    <w:rsid w:val="00DF66B4"/>
    <w:rsid w:val="00DF7206"/>
    <w:rsid w:val="00E024B3"/>
    <w:rsid w:val="00E0443C"/>
    <w:rsid w:val="00E06582"/>
    <w:rsid w:val="00E076A9"/>
    <w:rsid w:val="00E13489"/>
    <w:rsid w:val="00E14E9B"/>
    <w:rsid w:val="00E15DFA"/>
    <w:rsid w:val="00E20280"/>
    <w:rsid w:val="00E22566"/>
    <w:rsid w:val="00E30C6E"/>
    <w:rsid w:val="00E31A4F"/>
    <w:rsid w:val="00E356F8"/>
    <w:rsid w:val="00E3733F"/>
    <w:rsid w:val="00E375C2"/>
    <w:rsid w:val="00E4144F"/>
    <w:rsid w:val="00E435D2"/>
    <w:rsid w:val="00E44203"/>
    <w:rsid w:val="00E44F19"/>
    <w:rsid w:val="00E4513F"/>
    <w:rsid w:val="00E460EF"/>
    <w:rsid w:val="00E46AC7"/>
    <w:rsid w:val="00E46C01"/>
    <w:rsid w:val="00E47ED6"/>
    <w:rsid w:val="00E51F52"/>
    <w:rsid w:val="00E529E1"/>
    <w:rsid w:val="00E54ED2"/>
    <w:rsid w:val="00E56B85"/>
    <w:rsid w:val="00E60C18"/>
    <w:rsid w:val="00E6122D"/>
    <w:rsid w:val="00E635BE"/>
    <w:rsid w:val="00E6378F"/>
    <w:rsid w:val="00E64996"/>
    <w:rsid w:val="00E67216"/>
    <w:rsid w:val="00E67469"/>
    <w:rsid w:val="00E70704"/>
    <w:rsid w:val="00E72D46"/>
    <w:rsid w:val="00E75662"/>
    <w:rsid w:val="00E76B34"/>
    <w:rsid w:val="00E7720F"/>
    <w:rsid w:val="00E81D50"/>
    <w:rsid w:val="00E834CC"/>
    <w:rsid w:val="00E84742"/>
    <w:rsid w:val="00E8643F"/>
    <w:rsid w:val="00E90435"/>
    <w:rsid w:val="00E9287C"/>
    <w:rsid w:val="00E92B24"/>
    <w:rsid w:val="00E92BE7"/>
    <w:rsid w:val="00E9438F"/>
    <w:rsid w:val="00E96C3A"/>
    <w:rsid w:val="00E97C0B"/>
    <w:rsid w:val="00E97E09"/>
    <w:rsid w:val="00EA1CF8"/>
    <w:rsid w:val="00EA243C"/>
    <w:rsid w:val="00EA2742"/>
    <w:rsid w:val="00EA29CF"/>
    <w:rsid w:val="00EB79E0"/>
    <w:rsid w:val="00EC00A4"/>
    <w:rsid w:val="00EC2B8B"/>
    <w:rsid w:val="00EC3225"/>
    <w:rsid w:val="00EC33C3"/>
    <w:rsid w:val="00EC35AD"/>
    <w:rsid w:val="00EC48F5"/>
    <w:rsid w:val="00EC551F"/>
    <w:rsid w:val="00EC5EFB"/>
    <w:rsid w:val="00EC766B"/>
    <w:rsid w:val="00ED0537"/>
    <w:rsid w:val="00ED0C25"/>
    <w:rsid w:val="00ED13D8"/>
    <w:rsid w:val="00ED2697"/>
    <w:rsid w:val="00ED3B7D"/>
    <w:rsid w:val="00ED4623"/>
    <w:rsid w:val="00ED579A"/>
    <w:rsid w:val="00ED59ED"/>
    <w:rsid w:val="00ED6047"/>
    <w:rsid w:val="00ED6521"/>
    <w:rsid w:val="00ED65C3"/>
    <w:rsid w:val="00ED6CFE"/>
    <w:rsid w:val="00ED7A52"/>
    <w:rsid w:val="00EE0584"/>
    <w:rsid w:val="00EE06C4"/>
    <w:rsid w:val="00EE24C6"/>
    <w:rsid w:val="00EE31E5"/>
    <w:rsid w:val="00EE3534"/>
    <w:rsid w:val="00EE568F"/>
    <w:rsid w:val="00EE67AA"/>
    <w:rsid w:val="00EE682F"/>
    <w:rsid w:val="00EE6B56"/>
    <w:rsid w:val="00EE6C60"/>
    <w:rsid w:val="00EE6EBD"/>
    <w:rsid w:val="00EE788D"/>
    <w:rsid w:val="00EE7911"/>
    <w:rsid w:val="00EF2CE5"/>
    <w:rsid w:val="00EF3886"/>
    <w:rsid w:val="00EF7852"/>
    <w:rsid w:val="00F010BE"/>
    <w:rsid w:val="00F016F6"/>
    <w:rsid w:val="00F051E3"/>
    <w:rsid w:val="00F11B1B"/>
    <w:rsid w:val="00F121C4"/>
    <w:rsid w:val="00F1262F"/>
    <w:rsid w:val="00F15134"/>
    <w:rsid w:val="00F17245"/>
    <w:rsid w:val="00F20AE0"/>
    <w:rsid w:val="00F21D33"/>
    <w:rsid w:val="00F22A55"/>
    <w:rsid w:val="00F23101"/>
    <w:rsid w:val="00F26226"/>
    <w:rsid w:val="00F26537"/>
    <w:rsid w:val="00F27FB2"/>
    <w:rsid w:val="00F30799"/>
    <w:rsid w:val="00F32897"/>
    <w:rsid w:val="00F32D25"/>
    <w:rsid w:val="00F341A9"/>
    <w:rsid w:val="00F36B44"/>
    <w:rsid w:val="00F44932"/>
    <w:rsid w:val="00F4630A"/>
    <w:rsid w:val="00F46CA7"/>
    <w:rsid w:val="00F47D50"/>
    <w:rsid w:val="00F52CC4"/>
    <w:rsid w:val="00F53B51"/>
    <w:rsid w:val="00F54212"/>
    <w:rsid w:val="00F60282"/>
    <w:rsid w:val="00F654FA"/>
    <w:rsid w:val="00F66E71"/>
    <w:rsid w:val="00F67769"/>
    <w:rsid w:val="00F67AF9"/>
    <w:rsid w:val="00F7023B"/>
    <w:rsid w:val="00F7348A"/>
    <w:rsid w:val="00F73653"/>
    <w:rsid w:val="00F758DF"/>
    <w:rsid w:val="00F76DF5"/>
    <w:rsid w:val="00F7733F"/>
    <w:rsid w:val="00F81A1F"/>
    <w:rsid w:val="00F82061"/>
    <w:rsid w:val="00F82C7D"/>
    <w:rsid w:val="00F85A25"/>
    <w:rsid w:val="00F85BAC"/>
    <w:rsid w:val="00F87669"/>
    <w:rsid w:val="00F87913"/>
    <w:rsid w:val="00F90088"/>
    <w:rsid w:val="00F92D15"/>
    <w:rsid w:val="00F92DC1"/>
    <w:rsid w:val="00F93083"/>
    <w:rsid w:val="00F93C6E"/>
    <w:rsid w:val="00F95BF4"/>
    <w:rsid w:val="00F97404"/>
    <w:rsid w:val="00FA043E"/>
    <w:rsid w:val="00FA1E25"/>
    <w:rsid w:val="00FA1F6D"/>
    <w:rsid w:val="00FA3857"/>
    <w:rsid w:val="00FA3B5D"/>
    <w:rsid w:val="00FA45C2"/>
    <w:rsid w:val="00FA7966"/>
    <w:rsid w:val="00FB2049"/>
    <w:rsid w:val="00FB2CCC"/>
    <w:rsid w:val="00FB30B9"/>
    <w:rsid w:val="00FB45D2"/>
    <w:rsid w:val="00FB50D8"/>
    <w:rsid w:val="00FB6857"/>
    <w:rsid w:val="00FB7547"/>
    <w:rsid w:val="00FC02D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D0E83"/>
    <w:rsid w:val="00FD18F1"/>
    <w:rsid w:val="00FD1F6A"/>
    <w:rsid w:val="00FD2509"/>
    <w:rsid w:val="00FD25F5"/>
    <w:rsid w:val="00FD371D"/>
    <w:rsid w:val="00FD3A28"/>
    <w:rsid w:val="00FD423B"/>
    <w:rsid w:val="00FD5F7F"/>
    <w:rsid w:val="00FD67EC"/>
    <w:rsid w:val="00FE0C99"/>
    <w:rsid w:val="00FE0FC6"/>
    <w:rsid w:val="00FE5C93"/>
    <w:rsid w:val="00FE5EF8"/>
    <w:rsid w:val="00FF4347"/>
    <w:rsid w:val="00FF43E0"/>
    <w:rsid w:val="00FF464C"/>
    <w:rsid w:val="00FF4C39"/>
    <w:rsid w:val="02E838CB"/>
    <w:rsid w:val="05611C1B"/>
    <w:rsid w:val="06394159"/>
    <w:rsid w:val="0B6F131F"/>
    <w:rsid w:val="0BBB5165"/>
    <w:rsid w:val="0CA028DE"/>
    <w:rsid w:val="0F2D533A"/>
    <w:rsid w:val="10501577"/>
    <w:rsid w:val="11852158"/>
    <w:rsid w:val="12C81503"/>
    <w:rsid w:val="130372A8"/>
    <w:rsid w:val="14297D63"/>
    <w:rsid w:val="158E3546"/>
    <w:rsid w:val="17F73427"/>
    <w:rsid w:val="19FA5728"/>
    <w:rsid w:val="23D27BEE"/>
    <w:rsid w:val="259D7109"/>
    <w:rsid w:val="27DE1A5C"/>
    <w:rsid w:val="286B272F"/>
    <w:rsid w:val="29416E86"/>
    <w:rsid w:val="2C0B4396"/>
    <w:rsid w:val="2C8349A4"/>
    <w:rsid w:val="2C8A5D1D"/>
    <w:rsid w:val="318C3252"/>
    <w:rsid w:val="39485F03"/>
    <w:rsid w:val="3CCD0262"/>
    <w:rsid w:val="3F9812EE"/>
    <w:rsid w:val="43D759AF"/>
    <w:rsid w:val="462E47C6"/>
    <w:rsid w:val="48A34541"/>
    <w:rsid w:val="4B571909"/>
    <w:rsid w:val="4FEF5079"/>
    <w:rsid w:val="50B34B27"/>
    <w:rsid w:val="518A0950"/>
    <w:rsid w:val="51DE008F"/>
    <w:rsid w:val="521B0BB0"/>
    <w:rsid w:val="525352DF"/>
    <w:rsid w:val="59DA08A1"/>
    <w:rsid w:val="5B22329D"/>
    <w:rsid w:val="648C75E0"/>
    <w:rsid w:val="654775C3"/>
    <w:rsid w:val="6B68444A"/>
    <w:rsid w:val="6DF02E52"/>
    <w:rsid w:val="7152074A"/>
    <w:rsid w:val="71A62F9F"/>
    <w:rsid w:val="73382D18"/>
    <w:rsid w:val="74FE3BE2"/>
    <w:rsid w:val="772B3601"/>
    <w:rsid w:val="776D01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qFormat/>
    <w:uiPriority w:val="0"/>
    <w:pPr>
      <w:keepNext w:val="0"/>
      <w:keepLines w:val="0"/>
      <w:adjustRightInd w:val="0"/>
      <w:snapToGrid/>
      <w:spacing w:beforeLines="0" w:beforeAutospacing="0" w:afterLines="0" w:afterAutospacing="0" w:line="590" w:lineRule="exact"/>
      <w:jc w:val="center"/>
      <w:outlineLvl w:val="0"/>
    </w:pPr>
    <w:rPr>
      <w:rFonts w:eastAsia="方正小标宋_GBK"/>
      <w:kern w:val="44"/>
      <w:sz w:val="44"/>
    </w:rPr>
  </w:style>
  <w:style w:type="paragraph" w:styleId="3">
    <w:name w:val="heading 2"/>
    <w:basedOn w:val="1"/>
    <w:next w:val="1"/>
    <w:uiPriority w:val="0"/>
    <w:pPr>
      <w:keepNext w:val="0"/>
      <w:keepLines w:val="0"/>
      <w:adjustRightInd w:val="0"/>
      <w:snapToGrid/>
      <w:spacing w:beforeLines="0" w:beforeAutospacing="0" w:afterLines="0" w:afterAutospacing="0" w:line="240" w:lineRule="auto"/>
      <w:ind w:firstLine="632" w:firstLineChars="200"/>
      <w:jc w:val="both"/>
      <w:outlineLvl w:val="1"/>
    </w:pPr>
    <w:rPr>
      <w:rFonts w:eastAsia="方正黑体_GBK"/>
    </w:rPr>
  </w:style>
  <w:style w:type="paragraph" w:styleId="4">
    <w:name w:val="heading 3"/>
    <w:basedOn w:val="1"/>
    <w:next w:val="1"/>
    <w:link w:val="10"/>
    <w:qFormat/>
    <w:uiPriority w:val="0"/>
    <w:pPr>
      <w:keepNext w:val="0"/>
      <w:keepLines w:val="0"/>
      <w:adjustRightInd w:val="0"/>
      <w:snapToGrid/>
      <w:spacing w:beforeLines="0" w:beforeAutospacing="0" w:afterLines="0" w:afterAutospacing="0" w:line="240" w:lineRule="auto"/>
      <w:ind w:firstLine="632" w:firstLineChars="200"/>
      <w:jc w:val="both"/>
      <w:outlineLvl w:val="2"/>
    </w:pPr>
    <w:rPr>
      <w:rFonts w:eastAsia="方正楷体_GBK"/>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rPr>
  </w:style>
  <w:style w:type="character" w:styleId="9">
    <w:name w:val="page number"/>
    <w:basedOn w:val="8"/>
    <w:qFormat/>
    <w:uiPriority w:val="0"/>
  </w:style>
  <w:style w:type="character" w:customStyle="1" w:styleId="10">
    <w:name w:val="标题 3 Char"/>
    <w:link w:val="4"/>
    <w:qFormat/>
    <w:uiPriority w:val="0"/>
    <w:rPr>
      <w:rFonts w:ascii="Times New Roman" w:hAnsi="Times New Roman" w:eastAsia="方正楷体_GBK"/>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2022-06-27T09:28:00Z</dcterms:created>
  <dc:creator>Administrator</dc:creator>
  <cp:lastModifiedBy>乌衣</cp:lastModifiedBy>
  <dcterms:modified xsi:type="dcterms:W3CDTF">2023-12-08T09:03:20Z</dcterms:modified>
  <dc:title>重庆市人民政府办公厅</dc:title>
  <cp:revision>6320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SaveFontToCloudKey">
    <vt:lpwstr>380550067_embed</vt:lpwstr>
  </property>
  <property fmtid="{D5CDD505-2E9C-101B-9397-08002B2CF9AE}" pid="4" name="ICV">
    <vt:lpwstr>5AB3CFFF72B44652B902C410CD7176DA_13</vt:lpwstr>
  </property>
</Properties>
</file>