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760" w:lineRule="atLeast"/>
        <w:jc w:val="center"/>
        <w:rPr>
          <w:rFonts w:hint="eastAsia" w:eastAsia="方正小标宋_GBK"/>
          <w:sz w:val="44"/>
          <w:szCs w:val="44"/>
        </w:rPr>
      </w:pPr>
      <w:bookmarkStart w:id="0" w:name="_GoBack"/>
      <w:r>
        <w:rPr>
          <w:rFonts w:hint="eastAsia" w:eastAsia="方正小标宋_GBK"/>
          <w:sz w:val="44"/>
          <w:szCs w:val="44"/>
        </w:rPr>
        <w:t>重庆市人民政府办公厅</w:t>
      </w:r>
    </w:p>
    <w:p>
      <w:pPr>
        <w:snapToGrid w:val="0"/>
        <w:spacing w:line="760" w:lineRule="atLeast"/>
        <w:jc w:val="center"/>
        <w:rPr>
          <w:rFonts w:hint="eastAsia" w:eastAsia="方正小标宋_GBK"/>
          <w:sz w:val="44"/>
          <w:szCs w:val="44"/>
        </w:rPr>
      </w:pPr>
      <w:r>
        <w:rPr>
          <w:rFonts w:hint="eastAsia" w:eastAsia="方正小标宋_GBK"/>
          <w:sz w:val="44"/>
          <w:szCs w:val="44"/>
        </w:rPr>
        <w:t>关于印发重庆市市级预算管理办法等</w:t>
      </w:r>
    </w:p>
    <w:p>
      <w:pPr>
        <w:snapToGrid w:val="0"/>
        <w:spacing w:line="760" w:lineRule="atLeast"/>
        <w:jc w:val="center"/>
        <w:rPr>
          <w:rFonts w:hint="eastAsia" w:eastAsia="方正小标宋_GBK"/>
          <w:sz w:val="44"/>
          <w:szCs w:val="44"/>
        </w:rPr>
      </w:pPr>
      <w:r>
        <w:rPr>
          <w:rFonts w:hint="eastAsia" w:eastAsia="方正小标宋_GBK"/>
          <w:sz w:val="44"/>
          <w:szCs w:val="44"/>
        </w:rPr>
        <w:t>6个办法的通知</w:t>
      </w:r>
    </w:p>
    <w:bookmarkEnd w:id="0"/>
    <w:p>
      <w:pPr>
        <w:jc w:val="center"/>
        <w:rPr>
          <w:rFonts w:hint="eastAsia" w:eastAsia="方正小标宋_GBK"/>
          <w:sz w:val="44"/>
          <w:szCs w:val="44"/>
        </w:rPr>
      </w:pPr>
      <w:r>
        <w:rPr>
          <w:rFonts w:hint="eastAsia"/>
        </w:rPr>
        <w:t>渝府办发〔2021〕139号</w:t>
      </w:r>
    </w:p>
    <w:p/>
    <w:p>
      <w:pPr>
        <w:rPr>
          <w:rFonts w:hint="eastAsia"/>
        </w:rPr>
      </w:pPr>
      <w:r>
        <w:rPr>
          <w:rFonts w:hint="eastAsia"/>
        </w:rPr>
        <w:t>各区县（自治县）人民政府，市政府各部门，有关单位：</w:t>
      </w:r>
    </w:p>
    <w:p>
      <w:pPr>
        <w:ind w:firstLine="632" w:firstLineChars="200"/>
        <w:rPr>
          <w:rFonts w:hint="eastAsia"/>
        </w:rPr>
      </w:pPr>
      <w:r>
        <w:rPr>
          <w:rFonts w:hint="eastAsia"/>
        </w:rPr>
        <w:t>《重庆市市级预算管理办法》《重庆市预决算信息公开管理办法》《重庆市市级重点专项资金管理办法》《重庆市市级预算公开评审办法》《重庆市市级部门预算零结转管理办法》《重庆市市级预算安排与监督检查和绩效评价结果挂钩办法》等6个办法已经市政府同意，现印发给你们，请认真贯彻执行。</w:t>
      </w:r>
    </w:p>
    <w:p>
      <w:pPr>
        <w:ind w:firstLine="632" w:firstLineChars="200"/>
        <w:rPr>
          <w:rFonts w:hint="eastAsia"/>
        </w:rPr>
      </w:pPr>
      <w:r>
        <w:rPr>
          <w:rFonts w:hint="eastAsia"/>
        </w:rPr>
        <w:t>《重庆市人民政府办公厅关于印发重庆市市级预算管理办法和重庆市级重点专项资金管理办法的通知》（渝府办发〔2018〕151号）、《重庆市人民政府办公厅关于印发重庆市市级预算公开评审等3个办法的通知》（渝府办发〔2017〕92号）、《重庆市人民政府办公厅关于印发重庆市市级预算安排与监督检查和绩效评价结果挂钩办法的通知》（渝府办发〔2019〕3号）同时废止。</w:t>
      </w:r>
    </w:p>
    <w:p>
      <w:pPr>
        <w:ind w:firstLine="632" w:firstLineChars="200"/>
      </w:pPr>
    </w:p>
    <w:p>
      <w:pPr>
        <w:ind w:firstLine="632" w:firstLineChars="200"/>
      </w:pPr>
    </w:p>
    <w:p>
      <w:pPr>
        <w:ind w:right="932" w:rightChars="295" w:firstLine="632" w:firstLineChars="200"/>
        <w:jc w:val="right"/>
        <w:rPr>
          <w:rFonts w:hint="eastAsia"/>
        </w:rPr>
      </w:pPr>
      <w:r>
        <w:rPr>
          <w:rFonts w:hint="eastAsia"/>
        </w:rPr>
        <w:t>重庆市人民政府办公厅</w:t>
      </w:r>
    </w:p>
    <w:p>
      <w:pPr>
        <w:ind w:right="1264" w:rightChars="400" w:firstLine="632" w:firstLineChars="200"/>
        <w:jc w:val="right"/>
        <w:rPr>
          <w:rFonts w:hint="eastAsia"/>
        </w:rPr>
      </w:pPr>
      <w:r>
        <w:rPr>
          <w:rFonts w:hint="eastAsia"/>
        </w:rPr>
        <w:t>2021年12月1日</w:t>
      </w:r>
    </w:p>
    <w:p>
      <w:pPr>
        <w:ind w:firstLine="632" w:firstLineChars="200"/>
        <w:rPr>
          <w:rFonts w:hint="eastAsia"/>
        </w:rPr>
      </w:pPr>
      <w:r>
        <w:rPr>
          <w:rFonts w:hint="eastAsia"/>
        </w:rPr>
        <w:t>（此件公开发布）</w:t>
      </w:r>
    </w:p>
    <w:p>
      <w:pPr>
        <w:spacing w:line="552" w:lineRule="exact"/>
        <w:ind w:firstLine="632" w:firstLineChars="200"/>
      </w:pPr>
      <w:r>
        <w:br w:type="page"/>
      </w:r>
    </w:p>
    <w:p>
      <w:pPr>
        <w:spacing w:line="552" w:lineRule="exact"/>
        <w:ind w:firstLine="632" w:firstLineChars="200"/>
      </w:pPr>
    </w:p>
    <w:p>
      <w:pPr>
        <w:spacing w:line="552" w:lineRule="exact"/>
        <w:jc w:val="center"/>
        <w:rPr>
          <w:rFonts w:hint="eastAsia" w:eastAsia="方正小标宋_GBK"/>
          <w:sz w:val="44"/>
          <w:szCs w:val="44"/>
        </w:rPr>
      </w:pPr>
      <w:r>
        <w:rPr>
          <w:rFonts w:hint="eastAsia" w:eastAsia="方正小标宋_GBK"/>
          <w:sz w:val="44"/>
          <w:szCs w:val="44"/>
        </w:rPr>
        <w:t>重庆市市级预算管理办法</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第一章  总    则</w:t>
      </w:r>
    </w:p>
    <w:p>
      <w:pPr>
        <w:spacing w:line="552" w:lineRule="exact"/>
        <w:ind w:firstLine="632" w:firstLineChars="200"/>
      </w:pPr>
    </w:p>
    <w:p>
      <w:pPr>
        <w:spacing w:line="552" w:lineRule="exact"/>
        <w:ind w:firstLine="632" w:firstLineChars="200"/>
        <w:rPr>
          <w:rFonts w:hint="eastAsia"/>
        </w:rPr>
      </w:pPr>
      <w:r>
        <w:rPr>
          <w:rFonts w:hint="eastAsia" w:eastAsia="方正黑体_GBK"/>
        </w:rPr>
        <w:t xml:space="preserve">第一条 </w:t>
      </w:r>
      <w:r>
        <w:rPr>
          <w:rFonts w:hint="eastAsia"/>
        </w:rPr>
        <w:t xml:space="preserve"> 为建立全面规范透明、标准科学、约束有力的预算制度，进一步规范市级财政收支预算管理，强化预算约束，根据《中华人民共和国预算法》《中华人民共和国预算法实施条例》《重庆市预算审查监督条例》，制定本办法。</w:t>
      </w:r>
    </w:p>
    <w:p>
      <w:pPr>
        <w:spacing w:line="552" w:lineRule="exact"/>
        <w:ind w:firstLine="632" w:firstLineChars="200"/>
        <w:rPr>
          <w:rFonts w:hint="eastAsia"/>
        </w:rPr>
      </w:pPr>
      <w:r>
        <w:rPr>
          <w:rFonts w:hint="eastAsia" w:eastAsia="方正黑体_GBK"/>
        </w:rPr>
        <w:t xml:space="preserve">第二条 </w:t>
      </w:r>
      <w:r>
        <w:rPr>
          <w:rFonts w:hint="eastAsia"/>
        </w:rPr>
        <w:t xml:space="preserve"> 本办法适用于重庆市市级预算管理，包括一般公共预算、政府性基金预算、国有资本经营预算。市级预算由市本级预算和转移支付预算组成。市本级预算由部门预算、财政代编部门预算组成；转移支付预算由已落实到具体区县（自治县，以下简称区县）的转移支付预算和财政代编转移支付预算组成。</w:t>
      </w:r>
    </w:p>
    <w:p>
      <w:pPr>
        <w:spacing w:line="552" w:lineRule="exact"/>
        <w:ind w:firstLine="632" w:firstLineChars="200"/>
        <w:rPr>
          <w:rFonts w:hint="eastAsia"/>
          <w:spacing w:val="-4"/>
        </w:rPr>
      </w:pPr>
      <w:r>
        <w:rPr>
          <w:rFonts w:hint="eastAsia" w:eastAsia="方正黑体_GBK"/>
        </w:rPr>
        <w:t>第三条</w:t>
      </w:r>
      <w:r>
        <w:rPr>
          <w:rFonts w:hint="eastAsia"/>
        </w:rPr>
        <w:t xml:space="preserve">  凡纳入市级预算管理的国家机关、政党组织、人民</w:t>
      </w:r>
      <w:r>
        <w:rPr>
          <w:rFonts w:hint="eastAsia"/>
          <w:spacing w:val="-4"/>
        </w:rPr>
        <w:t>团体和企事业单位等（以下统称市级预算单位），必须遵守本办法。</w:t>
      </w:r>
    </w:p>
    <w:p>
      <w:pPr>
        <w:spacing w:line="552" w:lineRule="exact"/>
        <w:ind w:firstLine="632" w:firstLineChars="200"/>
        <w:rPr>
          <w:rFonts w:hint="eastAsia"/>
        </w:rPr>
      </w:pPr>
      <w:r>
        <w:rPr>
          <w:rFonts w:hint="eastAsia" w:eastAsia="方正黑体_GBK"/>
        </w:rPr>
        <w:t>第四条</w:t>
      </w:r>
      <w:r>
        <w:rPr>
          <w:rFonts w:hint="eastAsia"/>
        </w:rPr>
        <w:t xml:space="preserve">  市级财政部门具体负责市级财政预算管理工作，市级预算单位负责本单位预算管理工作。</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第二章  预算的编制</w:t>
      </w:r>
    </w:p>
    <w:p>
      <w:pPr>
        <w:spacing w:line="552" w:lineRule="exact"/>
        <w:ind w:firstLine="632" w:firstLineChars="200"/>
      </w:pPr>
    </w:p>
    <w:p>
      <w:pPr>
        <w:ind w:firstLine="632" w:firstLineChars="200"/>
        <w:rPr>
          <w:rFonts w:hint="eastAsia"/>
        </w:rPr>
      </w:pPr>
      <w:r>
        <w:rPr>
          <w:rFonts w:hint="eastAsia" w:eastAsia="方正黑体_GBK"/>
        </w:rPr>
        <w:t>第五条</w:t>
      </w:r>
      <w:r>
        <w:rPr>
          <w:rFonts w:hint="eastAsia"/>
        </w:rPr>
        <w:t xml:space="preserve">  市级预算实行综合预算管理，按照“量入为出、收支平衡、讲求绩效”的原则编制，不列赤字。</w:t>
      </w:r>
    </w:p>
    <w:p>
      <w:pPr>
        <w:ind w:firstLine="632" w:firstLineChars="200"/>
        <w:rPr>
          <w:rFonts w:hint="eastAsia"/>
        </w:rPr>
      </w:pPr>
      <w:r>
        <w:rPr>
          <w:rFonts w:hint="eastAsia"/>
        </w:rPr>
        <w:t>市级收入预算的编制，应当与经济社会发展水平相适应，与财政政策相衔接。对所有政府收入实行统一编制、统一管理，政府债务按规定纳入预算管理。收入征管部门要根据年度、月度等组织收入情况和预算年度经济政策调整等因素，认真测算各项收入，并及时向市级财政部门报送包括预测数在内的各项测算数据，以便科学编制收入预算。</w:t>
      </w:r>
    </w:p>
    <w:p>
      <w:pPr>
        <w:ind w:firstLine="632" w:firstLineChars="200"/>
        <w:rPr>
          <w:rFonts w:hint="eastAsia"/>
        </w:rPr>
      </w:pPr>
      <w:r>
        <w:rPr>
          <w:rFonts w:hint="eastAsia"/>
        </w:rPr>
        <w:t>市级支出预算的编制，应当统筹兼顾、确保重点、厉行节约、公平高效。对所有政府支出应按保基本民生、保工资、保运转、债务还本付息、中央和地方各级党委政府确定的重大项目、其他需安排的项目的先后顺序予以安排，并根据一般公共预算、政府性基金预算、国有资本经营预算的保障重点统筹安排。</w:t>
      </w:r>
    </w:p>
    <w:p>
      <w:pPr>
        <w:ind w:firstLine="632" w:firstLineChars="200"/>
        <w:rPr>
          <w:rFonts w:hint="eastAsia"/>
        </w:rPr>
      </w:pPr>
      <w:r>
        <w:rPr>
          <w:rFonts w:hint="eastAsia"/>
        </w:rPr>
        <w:t>市级预算单位制发文件不得涉及越权减免税费等减少财政收入及增加财政支出的内容。除国家另有规定外，不得规定有关预算支出与财政收支增幅、生产总值和支出占比等挂钩。</w:t>
      </w:r>
    </w:p>
    <w:p>
      <w:pPr>
        <w:ind w:firstLine="632" w:firstLineChars="200"/>
        <w:rPr>
          <w:rFonts w:hint="eastAsia"/>
        </w:rPr>
      </w:pPr>
      <w:r>
        <w:rPr>
          <w:rFonts w:hint="eastAsia" w:eastAsia="方正黑体_GBK"/>
        </w:rPr>
        <w:t>第六条</w:t>
      </w:r>
      <w:r>
        <w:rPr>
          <w:rFonts w:hint="eastAsia"/>
        </w:rPr>
        <w:t xml:space="preserve">  市级预算单位的所有收支均应纳入部门预算管理，全面反映预算单位的收支全貌，企业和执行企业会计制度的事业单位原则上只反映财政拨款收支预算。部门预算由本部门及所属各单位预算组成。</w:t>
      </w:r>
    </w:p>
    <w:p>
      <w:pPr>
        <w:ind w:firstLine="632" w:firstLineChars="200"/>
        <w:rPr>
          <w:rFonts w:hint="eastAsia"/>
        </w:rPr>
      </w:pPr>
      <w:r>
        <w:rPr>
          <w:rFonts w:hint="eastAsia"/>
        </w:rPr>
        <w:t>市级预算单位应将所有的部门预算收入纳入预算管理，部门预算收入包括财政拨款收入、财政专户管理资金收入和单位资金收入。其中：财政拨款收入包括一般公共预算拨款、政府性基金预算拨款、国有资本经营预算拨款；财政专户管理资金收入是缴入财政专户、实行专项管理的教育收费收入；单位资金收入是指除财政拨款收入和财政专户管理资金以外的收入，包括事业收入（不含教育收费）、上级补助收入、附属单位上缴收入、事业单位经营收入及其他收入（包含债务收入、投资收益等）。</w:t>
      </w:r>
    </w:p>
    <w:p>
      <w:pPr>
        <w:ind w:firstLine="632" w:firstLineChars="200"/>
        <w:rPr>
          <w:rFonts w:hint="eastAsia"/>
        </w:rPr>
      </w:pPr>
      <w:r>
        <w:rPr>
          <w:rFonts w:hint="eastAsia"/>
        </w:rPr>
        <w:t>市级预算单位应将所有支出分为基本支出和项目支出，纳入部门预算管理。基本支出严格执行《重庆市市级基本支出预算管理办法》。项目支出分为一般性项目支出和重点专项支出，严格执行《重庆市市级项目支出预算管理办法》。预算项目按照预算支出性质和用途，分为人员类项目、运转类项目和特定目标类项目。人员类项目支出和运转类项目支出中的公用经费项目支出对应部门预算中的基本支出；其他运转类项目支出和特定目标类项目支出对应部门预算中的项目支出。</w:t>
      </w:r>
    </w:p>
    <w:p>
      <w:pPr>
        <w:ind w:firstLine="616" w:firstLineChars="200"/>
        <w:rPr>
          <w:rFonts w:hint="eastAsia"/>
          <w:spacing w:val="-4"/>
        </w:rPr>
      </w:pPr>
      <w:r>
        <w:rPr>
          <w:rFonts w:hint="eastAsia" w:eastAsia="方正黑体_GBK"/>
          <w:spacing w:val="-4"/>
        </w:rPr>
        <w:t>第七条</w:t>
      </w:r>
      <w:r>
        <w:rPr>
          <w:rFonts w:hint="eastAsia"/>
          <w:spacing w:val="-4"/>
        </w:rPr>
        <w:t xml:space="preserve">  年初无法细化到具体单位（含专户、市属企业和其他非预算单位）或区县的预算，作为财政代编预算管理。主要包括：</w:t>
      </w:r>
    </w:p>
    <w:p>
      <w:pPr>
        <w:ind w:firstLine="632" w:firstLineChars="200"/>
        <w:rPr>
          <w:rFonts w:hint="eastAsia"/>
        </w:rPr>
      </w:pPr>
      <w:r>
        <w:rPr>
          <w:rFonts w:hint="eastAsia"/>
        </w:rPr>
        <w:t>（一）已确定资金使用方向和总体规模，但暂未确定具体项目、执行单位（区县）或需按进度安排的项目资金。</w:t>
      </w:r>
    </w:p>
    <w:p>
      <w:pPr>
        <w:ind w:firstLine="632" w:firstLineChars="200"/>
        <w:rPr>
          <w:rFonts w:hint="eastAsia"/>
        </w:rPr>
      </w:pPr>
      <w:r>
        <w:rPr>
          <w:rFonts w:hint="eastAsia"/>
        </w:rPr>
        <w:t>（二）年初未确定使用方向，预留用于应对年度中增支需求的资金。</w:t>
      </w:r>
    </w:p>
    <w:p>
      <w:pPr>
        <w:ind w:firstLine="632" w:firstLineChars="200"/>
        <w:rPr>
          <w:rFonts w:hint="eastAsia"/>
        </w:rPr>
      </w:pPr>
      <w:r>
        <w:rPr>
          <w:rFonts w:hint="eastAsia"/>
        </w:rPr>
        <w:t>（三）政府性基金收入、国有资本经营预算收入等，按照以收定支原则，在执行中根据收入情况相应安排支出的资金。</w:t>
      </w:r>
    </w:p>
    <w:p>
      <w:pPr>
        <w:ind w:firstLine="632" w:firstLineChars="200"/>
        <w:rPr>
          <w:rFonts w:hint="eastAsia"/>
        </w:rPr>
      </w:pPr>
      <w:r>
        <w:rPr>
          <w:rFonts w:hint="eastAsia"/>
        </w:rPr>
        <w:t>（四）市级预备费。按照市级一般公共预算支出额的1%—3%设置预备费，用于当年预算执行中的自然灾害等突发事件处理增加的支出及其他难以预见的开支。</w:t>
      </w:r>
    </w:p>
    <w:p>
      <w:pPr>
        <w:ind w:firstLine="632" w:firstLineChars="200"/>
        <w:rPr>
          <w:rFonts w:hint="eastAsia"/>
        </w:rPr>
      </w:pPr>
      <w:r>
        <w:rPr>
          <w:rFonts w:hint="eastAsia"/>
        </w:rPr>
        <w:t>（五）其他无法编列到具体单位（区县）的预算资金。</w:t>
      </w:r>
    </w:p>
    <w:p>
      <w:pPr>
        <w:ind w:firstLine="632" w:firstLineChars="200"/>
        <w:rPr>
          <w:rFonts w:hint="eastAsia"/>
        </w:rPr>
      </w:pPr>
      <w:r>
        <w:rPr>
          <w:rFonts w:hint="eastAsia" w:eastAsia="方正黑体_GBK"/>
        </w:rPr>
        <w:t>第八条</w:t>
      </w:r>
      <w:r>
        <w:rPr>
          <w:rFonts w:hint="eastAsia"/>
        </w:rPr>
        <w:t xml:space="preserve">  市对区县的转移支付预算包括一般性转移支付预算和专项转移支付预算。市级财政部门编制转移支付预算时，应当坚持统筹兼顾、突出重点、公开透明、注重实效的原则，充分考虑经济社会发展等因素，根据中央资金提前下达情况和市级财力平衡情况，按照规定程序编报。市级预算单位要严格执行《市对区县一般性转移支付管理办法》和《市对区县专项转移支付管理办法》。</w:t>
      </w:r>
    </w:p>
    <w:p>
      <w:pPr>
        <w:ind w:firstLine="632" w:firstLineChars="200"/>
        <w:rPr>
          <w:rFonts w:hint="eastAsia"/>
        </w:rPr>
      </w:pPr>
      <w:r>
        <w:rPr>
          <w:rFonts w:hint="eastAsia"/>
        </w:rPr>
        <w:t>市级预算单位不得擅自变动财政管理体制和有关政策，不得擅自从下级政府或下级主管部门集中收入或提取分成，不得擅自要求下级政府或下级主管部门配套解决有关预算支出。未商市级财政部门并报市政府书面同意，市级预算单位对下级政府及其财政部门提出的减收增支或资金分成要求，下级政府及其财政部门有权拒绝执行。</w:t>
      </w:r>
    </w:p>
    <w:p>
      <w:pPr>
        <w:ind w:firstLine="632" w:firstLineChars="200"/>
        <w:rPr>
          <w:rFonts w:hint="eastAsia"/>
        </w:rPr>
      </w:pPr>
      <w:r>
        <w:rPr>
          <w:rFonts w:hint="eastAsia" w:eastAsia="方正黑体_GBK"/>
        </w:rPr>
        <w:t>第九条</w:t>
      </w:r>
      <w:r>
        <w:rPr>
          <w:rFonts w:hint="eastAsia"/>
        </w:rPr>
        <w:t xml:space="preserve">  市级预算实行部门预算、转移支付预算、财政代编预算同步编制。</w:t>
      </w:r>
    </w:p>
    <w:p>
      <w:pPr>
        <w:ind w:firstLine="632" w:firstLineChars="200"/>
        <w:rPr>
          <w:rFonts w:hint="eastAsia"/>
        </w:rPr>
      </w:pPr>
      <w:r>
        <w:rPr>
          <w:rFonts w:hint="eastAsia"/>
        </w:rPr>
        <w:t>（一）市级财政部门根据国家有关规定和市政府对下一年度预算编制工作的要求，确定预算编制政策、编制内容、编制要求等，向市级预算单位部署编制工作；提出预算收支建议数，并汇总部门预算、转移支付预算、财政代编预算后编制市级财政预算草案。</w:t>
      </w:r>
    </w:p>
    <w:p>
      <w:pPr>
        <w:ind w:firstLine="632" w:firstLineChars="200"/>
        <w:rPr>
          <w:rFonts w:hint="eastAsia"/>
        </w:rPr>
      </w:pPr>
      <w:r>
        <w:rPr>
          <w:rFonts w:hint="eastAsia"/>
        </w:rPr>
        <w:t>（二）市级预算单位根据市政府印发的预算编制文件精神和市级财政部门的统一安排，结合本单位的具体情况，向所属单位布置部门预算草案编制工作，并负责本部门所属单位预算草案的审核，汇总编制本部门的预算草案。</w:t>
      </w:r>
    </w:p>
    <w:p>
      <w:pPr>
        <w:ind w:firstLine="632" w:firstLineChars="200"/>
        <w:rPr>
          <w:rFonts w:hint="eastAsia"/>
        </w:rPr>
      </w:pPr>
      <w:r>
        <w:rPr>
          <w:rFonts w:hint="eastAsia"/>
        </w:rPr>
        <w:t>（三）市级财政部门应当在布置预算编制工作之前，将预算草案编制的原则、依据、标准、重大政策调整等情况报告市人大财经委、市人大常委会预算工委。在市人民代表大会举行的30日前，将市级财政预算草案初步方案提交市人大常委会预算工委进行预先审查和市人大财经委进行初步审查。</w:t>
      </w:r>
    </w:p>
    <w:p>
      <w:pPr>
        <w:ind w:firstLine="632" w:firstLineChars="200"/>
        <w:rPr>
          <w:rFonts w:hint="eastAsia"/>
        </w:rPr>
      </w:pPr>
      <w:r>
        <w:rPr>
          <w:rFonts w:hint="eastAsia"/>
        </w:rPr>
        <w:t>（四）市级财政预算草案经市政府审定后，由市政府向市人民代表大会报告当年预算草案编制情况和具体方案。预算草案经市人民代表大会审查批准后，确定为当年市级财政预算。</w:t>
      </w:r>
    </w:p>
    <w:p>
      <w:pPr>
        <w:ind w:firstLine="632" w:firstLineChars="200"/>
        <w:rPr>
          <w:rFonts w:hint="eastAsia"/>
        </w:rPr>
      </w:pPr>
      <w:r>
        <w:rPr>
          <w:rFonts w:hint="eastAsia" w:eastAsia="方正黑体_GBK"/>
        </w:rPr>
        <w:t xml:space="preserve">第十条 </w:t>
      </w:r>
      <w:r>
        <w:rPr>
          <w:rFonts w:hint="eastAsia"/>
        </w:rPr>
        <w:t xml:space="preserve"> 市级财政部门在市人民代表大会批准市级财政预算后20日内，批复市级预算单位的部门预算，包括年度收入预算和支出预算。市级财政预算在市人民代表大会批准后20日内统一向社会公开。</w:t>
      </w:r>
    </w:p>
    <w:p>
      <w:pPr>
        <w:ind w:firstLine="632" w:firstLineChars="200"/>
        <w:rPr>
          <w:rFonts w:hint="eastAsia"/>
        </w:rPr>
      </w:pPr>
      <w:r>
        <w:rPr>
          <w:rFonts w:hint="eastAsia"/>
        </w:rPr>
        <w:t>市级各部门应当自市级财政部门批复本部门年初预算后15日内，批复所属各单位年初预算，并将批复文件抄送市级财政部门备案。市级各部门的预算应在市级财政部门批复后20日内向社会公开，市级各部门所属单位的预算，应当在部门批复后20日内向社会公开。</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第三章  预算的执行</w:t>
      </w:r>
    </w:p>
    <w:p>
      <w:pPr>
        <w:spacing w:line="552" w:lineRule="exact"/>
        <w:ind w:firstLine="632" w:firstLineChars="200"/>
      </w:pPr>
    </w:p>
    <w:p>
      <w:pPr>
        <w:spacing w:line="552" w:lineRule="exact"/>
        <w:ind w:firstLine="632" w:firstLineChars="200"/>
        <w:rPr>
          <w:rFonts w:hint="eastAsia"/>
        </w:rPr>
      </w:pPr>
      <w:r>
        <w:rPr>
          <w:rFonts w:hint="eastAsia" w:eastAsia="方正黑体_GBK"/>
        </w:rPr>
        <w:t>第十一条</w:t>
      </w:r>
      <w:r>
        <w:rPr>
          <w:rFonts w:hint="eastAsia"/>
        </w:rPr>
        <w:t xml:space="preserve">  市级预算由市政府负责组织执行，具体工作由市级财政部门负责。市级各部门、各单位是本部门、本单位预算的执行主体，负责执行本部门、本单位预算，并对执行结果负责。</w:t>
      </w:r>
    </w:p>
    <w:p>
      <w:pPr>
        <w:spacing w:line="552" w:lineRule="exact"/>
        <w:ind w:firstLine="632" w:firstLineChars="200"/>
        <w:rPr>
          <w:rFonts w:hint="eastAsia"/>
        </w:rPr>
      </w:pPr>
      <w:r>
        <w:rPr>
          <w:rFonts w:hint="eastAsia" w:eastAsia="方正黑体_GBK"/>
        </w:rPr>
        <w:t>第十二条</w:t>
      </w:r>
      <w:r>
        <w:rPr>
          <w:rFonts w:hint="eastAsia"/>
        </w:rPr>
        <w:t xml:space="preserve">  市级预算单位要依照有关法律法规规定，及时、足额征收应缴的预算收入，并按照规定的预算科目、级次、解缴方式和期限上缴国库和非税收入账户，不得违反规定擅自减征、免征或者缓征应缴的预算收入，不得截留、占用或者挪用预算收入，不得擅自设立过渡户。</w:t>
      </w:r>
    </w:p>
    <w:p>
      <w:pPr>
        <w:spacing w:line="552" w:lineRule="exact"/>
        <w:ind w:firstLine="632" w:firstLineChars="200"/>
        <w:rPr>
          <w:rFonts w:hint="eastAsia"/>
        </w:rPr>
      </w:pPr>
      <w:r>
        <w:rPr>
          <w:rFonts w:hint="eastAsia"/>
        </w:rPr>
        <w:t>区县级及以下政府不得制定涉及减少市级预算收入的有关政策，不得影响市级和市与区县共享收入的征收，不得要求市级配套相应支出。违反规定的，有关预算收入征收部门有权拒绝执行，并及时报告上级预算收入征收部门和市级财政部门。</w:t>
      </w:r>
    </w:p>
    <w:p>
      <w:pPr>
        <w:spacing w:line="552" w:lineRule="exact"/>
        <w:ind w:firstLine="632" w:firstLineChars="200"/>
        <w:rPr>
          <w:rFonts w:hint="eastAsia"/>
        </w:rPr>
      </w:pPr>
      <w:r>
        <w:rPr>
          <w:rFonts w:hint="eastAsia" w:eastAsia="方正黑体_GBK"/>
        </w:rPr>
        <w:t>第十三条</w:t>
      </w:r>
      <w:r>
        <w:rPr>
          <w:rFonts w:hint="eastAsia"/>
        </w:rPr>
        <w:t xml:space="preserve">  预算年度开始后，在市人民代表大会批准市级预算草案前，市级财政部门可以安排上一年度的结转支出、参照上年同期预算支出数额安排必须支付的本年度基本支出和项目支出、对下级政府的转移性支出、法律规定必须履行支付义务的支出、以及自然灾害等突发事件处理的支出，并在预算草案报告中作出说明。市级预算经市人民代表大会批准后，按照批准的预算执行。</w:t>
      </w:r>
    </w:p>
    <w:p>
      <w:pPr>
        <w:spacing w:line="552" w:lineRule="exact"/>
        <w:ind w:firstLine="632" w:firstLineChars="200"/>
        <w:rPr>
          <w:rFonts w:hint="eastAsia"/>
        </w:rPr>
      </w:pPr>
      <w:r>
        <w:rPr>
          <w:rFonts w:hint="eastAsia" w:eastAsia="方正黑体_GBK"/>
        </w:rPr>
        <w:t>第十四条</w:t>
      </w:r>
      <w:r>
        <w:rPr>
          <w:rFonts w:hint="eastAsia"/>
        </w:rPr>
        <w:t xml:space="preserve">  经市级财政部门批复的部门预算，市级预算单位必须严格执行。市级预算支出中的基本支出和项目支出，要按照规定的用途使用。属于政府采购范围内的支出，严格执行政府采购制度。属于政府购买服务的支出，严格执行政府购买服务制度。</w:t>
      </w:r>
    </w:p>
    <w:p>
      <w:pPr>
        <w:spacing w:line="552" w:lineRule="exact"/>
        <w:ind w:firstLine="632" w:firstLineChars="200"/>
        <w:rPr>
          <w:rFonts w:hint="eastAsia"/>
        </w:rPr>
      </w:pPr>
      <w:r>
        <w:rPr>
          <w:rFonts w:hint="eastAsia"/>
        </w:rPr>
        <w:t>市级预算单位上报市政府的请示事项，以及提请市政府常务会议、市长办公会议、市政府专题会议等研究的事项，凡涉及财政减收增支内容的，应当在报送请示或会议研究之前征求市级财政部门意见。</w:t>
      </w:r>
    </w:p>
    <w:p>
      <w:pPr>
        <w:spacing w:line="552" w:lineRule="exact"/>
        <w:ind w:firstLine="632" w:firstLineChars="200"/>
        <w:rPr>
          <w:rFonts w:hint="eastAsia"/>
        </w:rPr>
      </w:pPr>
      <w:r>
        <w:rPr>
          <w:rFonts w:hint="eastAsia" w:eastAsia="方正黑体_GBK"/>
        </w:rPr>
        <w:t>第十五条</w:t>
      </w:r>
      <w:r>
        <w:rPr>
          <w:rFonts w:hint="eastAsia"/>
        </w:rPr>
        <w:t xml:space="preserve">  市级预算单位应当按照有关规定对绩效目标和预算执行情况实施“双监控”，及时采取措施，确保绩效目标实现。对因实际需求发生变化、工作任务调整或取消等原因使项目实施不必要、目标实现不可能、预算大于实际需求的，应及时书面通知市级财政部门收回预算。</w:t>
      </w:r>
    </w:p>
    <w:p>
      <w:pPr>
        <w:spacing w:line="552" w:lineRule="exact"/>
        <w:ind w:firstLine="632" w:firstLineChars="200"/>
        <w:rPr>
          <w:rFonts w:hint="eastAsia"/>
        </w:rPr>
      </w:pPr>
      <w:r>
        <w:rPr>
          <w:rFonts w:hint="eastAsia" w:eastAsia="方正黑体_GBK"/>
        </w:rPr>
        <w:t xml:space="preserve">第十六条 </w:t>
      </w:r>
      <w:r>
        <w:rPr>
          <w:rFonts w:hint="eastAsia"/>
        </w:rPr>
        <w:t xml:space="preserve"> 市级预算单位要切实加快预算支出进度，严格执行结转资金管理办法。在预算执行过程中，市级预算单位对申请拨付的专项资金，应定期向市级财政部门反馈使用情况。市级财政部门结合项目的建设和实施情况对资金的使用等进行监督检查，并针对有关问题提出建议。市级财政部门对收回的市级预算单位的结转结余资金，按规定统筹安排使用。对结转结余资金较多的市级预算单位，在编制以后年度部门预算时，市级财政部门要按规定压缩其支出预算总额。</w:t>
      </w:r>
    </w:p>
    <w:p>
      <w:pPr>
        <w:spacing w:line="552" w:lineRule="exact"/>
        <w:ind w:firstLine="632" w:firstLineChars="200"/>
        <w:rPr>
          <w:rFonts w:hint="eastAsia"/>
        </w:rPr>
      </w:pPr>
      <w:r>
        <w:rPr>
          <w:rFonts w:hint="eastAsia" w:eastAsia="方正黑体_GBK"/>
        </w:rPr>
        <w:t>第十七条</w:t>
      </w:r>
      <w:r>
        <w:rPr>
          <w:rFonts w:hint="eastAsia"/>
        </w:rPr>
        <w:t xml:space="preserve">  市级预算单位的所有财政性资金严格实行国库集中支付管理。预算单位财政性资金的支付，应当坚持按照财政预算、用款计划、项目进度和规定程序规范使用。各预算单位对本单位集中支付的经济业务事项及所提供支付资料的真实性、合法性、完整性负责。各预算单位应严格执行动态监控和公务卡管理的相关规定，不得违规设立支出过渡性账户，不得违规向本单位实有资金账户划转资金，不得违规提取和使用现金。</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第四章  预算的调整与调剂</w:t>
      </w:r>
    </w:p>
    <w:p>
      <w:pPr>
        <w:spacing w:line="552" w:lineRule="exact"/>
        <w:ind w:firstLine="632" w:firstLineChars="200"/>
      </w:pPr>
    </w:p>
    <w:p>
      <w:pPr>
        <w:spacing w:line="552" w:lineRule="exact"/>
        <w:ind w:firstLine="632" w:firstLineChars="200"/>
        <w:rPr>
          <w:rFonts w:hint="eastAsia"/>
        </w:rPr>
      </w:pPr>
      <w:r>
        <w:rPr>
          <w:rFonts w:hint="eastAsia" w:eastAsia="方正黑体_GBK"/>
        </w:rPr>
        <w:t>第十八条</w:t>
      </w:r>
      <w:r>
        <w:rPr>
          <w:rFonts w:hint="eastAsia"/>
        </w:rPr>
        <w:t xml:space="preserve">  预算执行中的预算变动包括预算调整和预算调剂。市级预算执行中，出现下列情况时，市级财政部门应具体编制预算调整方案，经市政府审议后，由市政府提请市人民代表大会常务委员会审查和批准：</w:t>
      </w:r>
    </w:p>
    <w:p>
      <w:pPr>
        <w:spacing w:line="552" w:lineRule="exact"/>
        <w:ind w:firstLine="632" w:firstLineChars="200"/>
        <w:rPr>
          <w:rFonts w:hint="eastAsia"/>
        </w:rPr>
      </w:pPr>
      <w:r>
        <w:rPr>
          <w:rFonts w:hint="eastAsia"/>
        </w:rPr>
        <w:t>（一）需要增加或减少预算总支出的；</w:t>
      </w:r>
    </w:p>
    <w:p>
      <w:pPr>
        <w:spacing w:line="552" w:lineRule="exact"/>
        <w:ind w:firstLine="632" w:firstLineChars="200"/>
        <w:rPr>
          <w:rFonts w:hint="eastAsia"/>
        </w:rPr>
      </w:pPr>
      <w:r>
        <w:rPr>
          <w:rFonts w:hint="eastAsia"/>
        </w:rPr>
        <w:t>（二）需要调入预算稳定调节基金的；</w:t>
      </w:r>
    </w:p>
    <w:p>
      <w:pPr>
        <w:spacing w:line="552" w:lineRule="exact"/>
        <w:ind w:firstLine="632" w:firstLineChars="200"/>
        <w:rPr>
          <w:rFonts w:hint="eastAsia"/>
        </w:rPr>
      </w:pPr>
      <w:r>
        <w:rPr>
          <w:rFonts w:hint="eastAsia"/>
        </w:rPr>
        <w:t>（三）需要调减预算安排的重点支出数额的；</w:t>
      </w:r>
    </w:p>
    <w:p>
      <w:pPr>
        <w:spacing w:line="552" w:lineRule="exact"/>
        <w:ind w:firstLine="632" w:firstLineChars="200"/>
        <w:rPr>
          <w:rFonts w:hint="eastAsia"/>
        </w:rPr>
      </w:pPr>
      <w:r>
        <w:rPr>
          <w:rFonts w:hint="eastAsia"/>
        </w:rPr>
        <w:t>（四）需要增加举借债务数额的。</w:t>
      </w:r>
    </w:p>
    <w:p>
      <w:pPr>
        <w:spacing w:line="552" w:lineRule="exact"/>
        <w:ind w:firstLine="632" w:firstLineChars="200"/>
        <w:rPr>
          <w:rFonts w:hint="eastAsia"/>
        </w:rPr>
      </w:pPr>
      <w:r>
        <w:rPr>
          <w:rFonts w:hint="eastAsia"/>
        </w:rPr>
        <w:t>除上述预算调整情形外，预算执行中的预算变动均属于预算调剂，按照预算调剂相关规定执行。</w:t>
      </w:r>
    </w:p>
    <w:p>
      <w:pPr>
        <w:spacing w:line="552" w:lineRule="exact"/>
        <w:ind w:firstLine="632" w:firstLineChars="200"/>
        <w:rPr>
          <w:rFonts w:hint="eastAsia"/>
        </w:rPr>
      </w:pPr>
      <w:r>
        <w:rPr>
          <w:rFonts w:hint="eastAsia" w:eastAsia="方正黑体_GBK"/>
        </w:rPr>
        <w:t>第十九条</w:t>
      </w:r>
      <w:r>
        <w:rPr>
          <w:rFonts w:hint="eastAsia"/>
        </w:rPr>
        <w:t xml:space="preserve">  预算执行中，对中央财政补助的专项资金，按照中央专项资金管理办法或其他有关规定分配安排。</w:t>
      </w:r>
    </w:p>
    <w:p>
      <w:pPr>
        <w:spacing w:line="552" w:lineRule="exact"/>
        <w:ind w:firstLine="632" w:firstLineChars="200"/>
        <w:rPr>
          <w:rFonts w:hint="eastAsia"/>
        </w:rPr>
      </w:pPr>
      <w:r>
        <w:rPr>
          <w:rFonts w:hint="eastAsia" w:eastAsia="方正黑体_GBK"/>
        </w:rPr>
        <w:t>第二十条</w:t>
      </w:r>
      <w:r>
        <w:rPr>
          <w:rFonts w:hint="eastAsia"/>
        </w:rPr>
        <w:t xml:space="preserve">  年度预算执行中凡涉及市级调整工资和津补贴标准，或者调整各预算单位财政供给人员编制的，市级有关部门要征求市机构编制主管部门、市工资福利政策主管部门、市级财政部门等意见并达成一致后，报市政府批准实施。预算执行中，因机构、人员增减变化以及人员支出政策变化等涉及基本支出预算调整的，由市级财政部门按照国家和市级有关工资、津补贴政策以及预算保障政策统一安排。</w:t>
      </w:r>
    </w:p>
    <w:p>
      <w:pPr>
        <w:spacing w:line="552" w:lineRule="exact"/>
        <w:ind w:firstLine="632" w:firstLineChars="200"/>
        <w:rPr>
          <w:rFonts w:hint="eastAsia"/>
        </w:rPr>
      </w:pPr>
      <w:r>
        <w:rPr>
          <w:rFonts w:hint="eastAsia" w:eastAsia="方正黑体_GBK"/>
        </w:rPr>
        <w:t xml:space="preserve">第二十一条 </w:t>
      </w:r>
      <w:r>
        <w:rPr>
          <w:rFonts w:hint="eastAsia"/>
        </w:rPr>
        <w:t xml:space="preserve"> 预算执行中，对既定政策以及市政府常务会议或市长办公会议纪要、市政府批复（批示）明确具体支出政策和支出额度的事项、建设项目计划等，由市级财政部门根据有关规定直接办理执行。</w:t>
      </w:r>
    </w:p>
    <w:p>
      <w:pPr>
        <w:spacing w:line="552" w:lineRule="exact"/>
        <w:ind w:firstLine="632" w:firstLineChars="200"/>
        <w:rPr>
          <w:rFonts w:hint="eastAsia"/>
        </w:rPr>
      </w:pPr>
      <w:r>
        <w:rPr>
          <w:rFonts w:hint="eastAsia" w:eastAsia="方正黑体_GBK"/>
        </w:rPr>
        <w:t xml:space="preserve">第二十二条 </w:t>
      </w:r>
      <w:r>
        <w:rPr>
          <w:rFonts w:hint="eastAsia"/>
        </w:rPr>
        <w:t xml:space="preserve"> 年度执行中因中央政策调整或者防汛、抗旱、救灾、防疫等难以预见的重大因素或其他特殊紧急情况需安排支出的，可先预拨资金，后履行报批程序。</w:t>
      </w:r>
    </w:p>
    <w:p>
      <w:pPr>
        <w:spacing w:line="552" w:lineRule="exact"/>
        <w:ind w:firstLine="632" w:firstLineChars="200"/>
        <w:rPr>
          <w:rFonts w:hint="eastAsia"/>
        </w:rPr>
      </w:pPr>
      <w:r>
        <w:rPr>
          <w:rFonts w:hint="eastAsia" w:eastAsia="方正黑体_GBK"/>
        </w:rPr>
        <w:t>第二十三条</w:t>
      </w:r>
      <w:r>
        <w:rPr>
          <w:rFonts w:hint="eastAsia"/>
        </w:rPr>
        <w:t xml:space="preserve">  项目支出预算追加分为一般性项目预算追加和重点专项项目的预算追加。重点专项项目预算追加按照《重庆市市级重点专项资金管理办法》执行。一般性项目除本办法第十九、第二十、第二十一、第二十二条规定外，确需在预算执行中追加支出的，由市级预算单位向市级财政部门提出申请，市级财政部门按照以下权限和程序办理：</w:t>
      </w:r>
    </w:p>
    <w:p>
      <w:pPr>
        <w:spacing w:line="552" w:lineRule="exact"/>
        <w:ind w:firstLine="632" w:firstLineChars="200"/>
        <w:rPr>
          <w:rFonts w:hint="eastAsia"/>
        </w:rPr>
      </w:pPr>
      <w:r>
        <w:rPr>
          <w:rFonts w:hint="eastAsia"/>
        </w:rPr>
        <w:t>（一）500万元及以下的，履行公开评审程序后先行执行，并定期汇总向市政府报告；</w:t>
      </w:r>
    </w:p>
    <w:p>
      <w:pPr>
        <w:spacing w:line="552" w:lineRule="exact"/>
        <w:ind w:firstLine="632" w:firstLineChars="200"/>
        <w:rPr>
          <w:rFonts w:hint="eastAsia"/>
        </w:rPr>
      </w:pPr>
      <w:r>
        <w:rPr>
          <w:rFonts w:hint="eastAsia"/>
        </w:rPr>
        <w:t>（二）500万元以上的，履行公开评审程序并专报市政府后执行。</w:t>
      </w:r>
    </w:p>
    <w:p>
      <w:pPr>
        <w:spacing w:line="552" w:lineRule="exact"/>
        <w:ind w:firstLine="632" w:firstLineChars="200"/>
        <w:rPr>
          <w:rFonts w:hint="eastAsia"/>
        </w:rPr>
      </w:pPr>
      <w:r>
        <w:rPr>
          <w:rFonts w:hint="eastAsia"/>
        </w:rPr>
        <w:t>市级财政部门负责审核追加预算资金来源。主要包括：市级财政代编预算；对年初安排项目进行调整压缩节约的资金；预算稳定调节基金中的资金；各类财政存量资金；年度中中央补助资金、上下级结算资金和调入资金等其他资金来源。</w:t>
      </w:r>
    </w:p>
    <w:p>
      <w:pPr>
        <w:spacing w:line="552" w:lineRule="exact"/>
        <w:ind w:firstLine="632" w:firstLineChars="200"/>
        <w:rPr>
          <w:rFonts w:hint="eastAsia"/>
        </w:rPr>
      </w:pPr>
      <w:r>
        <w:rPr>
          <w:rFonts w:hint="eastAsia" w:eastAsia="方正黑体_GBK"/>
        </w:rPr>
        <w:t>第二十四条</w:t>
      </w:r>
      <w:r>
        <w:rPr>
          <w:rFonts w:hint="eastAsia"/>
        </w:rPr>
        <w:t xml:space="preserve">  年度执行中除第十九、第二十、第二十一、第二十二、第二十三条规定外的预算调剂事项，按照年度中预算调剂相关规定履行规范程序后执行。对因预算调整、调剂需要调整绩效目标的，随同预算调整、调剂程序一并办理。</w:t>
      </w:r>
    </w:p>
    <w:p>
      <w:pPr>
        <w:spacing w:line="552" w:lineRule="exact"/>
        <w:ind w:firstLine="632" w:firstLineChars="200"/>
        <w:rPr>
          <w:rFonts w:hint="eastAsia"/>
        </w:rPr>
      </w:pPr>
    </w:p>
    <w:p>
      <w:pPr>
        <w:spacing w:line="552" w:lineRule="exact"/>
        <w:jc w:val="center"/>
        <w:rPr>
          <w:rFonts w:hint="eastAsia" w:eastAsia="方正黑体_GBK"/>
        </w:rPr>
      </w:pPr>
      <w:r>
        <w:rPr>
          <w:rFonts w:hint="eastAsia" w:eastAsia="方正黑体_GBK"/>
        </w:rPr>
        <w:t>第五章  决    算</w:t>
      </w:r>
    </w:p>
    <w:p>
      <w:pPr>
        <w:spacing w:line="552" w:lineRule="exact"/>
        <w:ind w:firstLine="632" w:firstLineChars="200"/>
      </w:pPr>
    </w:p>
    <w:p>
      <w:pPr>
        <w:spacing w:line="552" w:lineRule="exact"/>
        <w:ind w:firstLine="632" w:firstLineChars="200"/>
        <w:rPr>
          <w:rFonts w:hint="eastAsia"/>
        </w:rPr>
      </w:pPr>
      <w:r>
        <w:rPr>
          <w:rFonts w:hint="eastAsia" w:eastAsia="方正黑体_GBK"/>
        </w:rPr>
        <w:t>第二十五条</w:t>
      </w:r>
      <w:r>
        <w:rPr>
          <w:rFonts w:hint="eastAsia"/>
        </w:rPr>
        <w:t xml:space="preserve">  市级财政部门根据财政部的安排，确定市级预算单位、区县决算草案编制的原则、要求、方法和报送期限，制发有关决算的表格。</w:t>
      </w:r>
    </w:p>
    <w:p>
      <w:pPr>
        <w:spacing w:line="552" w:lineRule="exact"/>
        <w:ind w:firstLine="632" w:firstLineChars="200"/>
        <w:rPr>
          <w:rFonts w:hint="eastAsia"/>
        </w:rPr>
      </w:pPr>
      <w:r>
        <w:rPr>
          <w:rFonts w:hint="eastAsia"/>
        </w:rPr>
        <w:t>市级预算单位根据市级财政部门的部署，组织编制本单位的决算草案，在规定期限内将决算草案连同草案详细说明一并报送市级财政部门审核。</w:t>
      </w:r>
    </w:p>
    <w:p>
      <w:pPr>
        <w:spacing w:line="552" w:lineRule="exact"/>
        <w:ind w:firstLine="632" w:firstLineChars="200"/>
        <w:rPr>
          <w:rFonts w:hint="eastAsia"/>
        </w:rPr>
      </w:pPr>
      <w:r>
        <w:rPr>
          <w:rFonts w:hint="eastAsia" w:eastAsia="方正黑体_GBK"/>
        </w:rPr>
        <w:t xml:space="preserve">第二十六条 </w:t>
      </w:r>
      <w:r>
        <w:rPr>
          <w:rFonts w:hint="eastAsia"/>
        </w:rPr>
        <w:t xml:space="preserve"> 市级财政决算由市级财政部门负责编报。市级财政决算收入包括市级财政直接组织的收入、下级政府的上解收入、中央补助的收入、债券收入等。市级财政决算支出包括市级单位当年决算支出、市级财政上解中央财政支出、补助下级政府的支出、债券支出等。</w:t>
      </w:r>
    </w:p>
    <w:p>
      <w:pPr>
        <w:spacing w:line="552" w:lineRule="exact"/>
        <w:ind w:firstLine="632" w:firstLineChars="200"/>
        <w:rPr>
          <w:rFonts w:hint="eastAsia"/>
        </w:rPr>
      </w:pPr>
      <w:r>
        <w:rPr>
          <w:rFonts w:hint="eastAsia"/>
        </w:rPr>
        <w:t>市级决算草案编制过程中，市级财政部门对市与中央、市与区县之间的资金往来情况和结算项目进行清理，具体办理各种结算事项，并下发区县财政部门年终决算结算单。</w:t>
      </w:r>
    </w:p>
    <w:p>
      <w:pPr>
        <w:spacing w:line="552" w:lineRule="exact"/>
        <w:ind w:firstLine="632" w:firstLineChars="200"/>
        <w:rPr>
          <w:rFonts w:hint="eastAsia"/>
        </w:rPr>
      </w:pPr>
      <w:r>
        <w:rPr>
          <w:rFonts w:hint="eastAsia" w:eastAsia="方正黑体_GBK"/>
        </w:rPr>
        <w:t>第二十七条</w:t>
      </w:r>
      <w:r>
        <w:rPr>
          <w:rFonts w:hint="eastAsia"/>
        </w:rPr>
        <w:t xml:space="preserve">  市级部门决算由各预算单位负责编报。市级部门决算草案由市级各预算单位决算草案汇总组成。市级各预算单位应当按照市级财政部门的要求，及时编报本单位收入、支出等年度数据及相关信息资料，并对所提供数据和资料的真实性、完整性、准确性负责。</w:t>
      </w:r>
    </w:p>
    <w:p>
      <w:pPr>
        <w:spacing w:line="552" w:lineRule="exact"/>
        <w:ind w:firstLine="632" w:firstLineChars="200"/>
        <w:rPr>
          <w:rFonts w:hint="eastAsia"/>
        </w:rPr>
      </w:pPr>
      <w:r>
        <w:rPr>
          <w:rFonts w:hint="eastAsia" w:eastAsia="方正黑体_GBK"/>
        </w:rPr>
        <w:t>第二十八条</w:t>
      </w:r>
      <w:r>
        <w:rPr>
          <w:rFonts w:hint="eastAsia"/>
        </w:rPr>
        <w:t xml:space="preserve">  市级财政部门根据市与中央、市级财政部门与区县财政结算情况和市级预算单位的决算收支情况，编制市级财政决算草案，报市政府审议，由市政府提请市人民代表大会常务委员会审查批准。</w:t>
      </w:r>
    </w:p>
    <w:p>
      <w:pPr>
        <w:spacing w:line="552" w:lineRule="exact"/>
        <w:ind w:firstLine="632" w:firstLineChars="200"/>
        <w:rPr>
          <w:rFonts w:hint="eastAsia"/>
        </w:rPr>
      </w:pPr>
      <w:r>
        <w:rPr>
          <w:rFonts w:hint="eastAsia" w:eastAsia="方正黑体_GBK"/>
        </w:rPr>
        <w:t xml:space="preserve">第二十九条 </w:t>
      </w:r>
      <w:r>
        <w:rPr>
          <w:rFonts w:hint="eastAsia"/>
        </w:rPr>
        <w:t xml:space="preserve"> 市级财政部门应当在市级年度财政决算草案经市人民代表大会常务委员会批准后20日内向本级各部门批复决算。市级财政部门应当在市级年度财政决算草案经市人民代表大会常务委员会批准后20日内向社会公开。</w:t>
      </w:r>
    </w:p>
    <w:p>
      <w:pPr>
        <w:spacing w:line="552" w:lineRule="exact"/>
        <w:ind w:firstLine="616" w:firstLineChars="200"/>
        <w:rPr>
          <w:rFonts w:hint="eastAsia"/>
          <w:spacing w:val="-4"/>
        </w:rPr>
      </w:pPr>
      <w:r>
        <w:rPr>
          <w:rFonts w:hint="eastAsia"/>
          <w:spacing w:val="-4"/>
        </w:rPr>
        <w:t>市级各部门应当自市级财政部门批复本部门决算后15日内，批复所属各单位决算，并将批复文件抄送市级财政部门备案。市级各部门的决算应在市级财政部门批复后20日内向社会公开，市级各部门所属单位的决算，应当在部门批复后20日内向社会公开。</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第六章  预算管理的监督</w:t>
      </w:r>
    </w:p>
    <w:p>
      <w:pPr>
        <w:spacing w:line="552" w:lineRule="exact"/>
        <w:ind w:firstLine="632" w:firstLineChars="200"/>
      </w:pPr>
    </w:p>
    <w:p>
      <w:pPr>
        <w:spacing w:line="552" w:lineRule="exact"/>
        <w:ind w:firstLine="632" w:firstLineChars="200"/>
        <w:rPr>
          <w:rFonts w:hint="eastAsia"/>
        </w:rPr>
      </w:pPr>
      <w:r>
        <w:rPr>
          <w:rFonts w:hint="eastAsia" w:eastAsia="方正黑体_GBK"/>
        </w:rPr>
        <w:t>第三十条</w:t>
      </w:r>
      <w:r>
        <w:rPr>
          <w:rFonts w:hint="eastAsia"/>
        </w:rPr>
        <w:t xml:space="preserve">  市级财政预算管理接受市人民代表大会及其常务委员会的监督，接受审计署重庆特派办、财政部重庆监管局及有关部门对市级预算、预算执行情况和决算的监督。</w:t>
      </w:r>
    </w:p>
    <w:p>
      <w:pPr>
        <w:spacing w:line="552" w:lineRule="exact"/>
        <w:ind w:firstLine="632" w:firstLineChars="200"/>
        <w:rPr>
          <w:rFonts w:hint="eastAsia"/>
        </w:rPr>
      </w:pPr>
      <w:r>
        <w:rPr>
          <w:rFonts w:hint="eastAsia"/>
        </w:rPr>
        <w:t>市审计部门对市级预算执行和决算办理情况、市级预算单位和区县政府预算的执行情况和决算，依法进行审计监督。</w:t>
      </w:r>
    </w:p>
    <w:p>
      <w:pPr>
        <w:spacing w:line="552" w:lineRule="exact"/>
        <w:ind w:firstLine="632" w:firstLineChars="200"/>
        <w:rPr>
          <w:rFonts w:hint="eastAsia"/>
        </w:rPr>
      </w:pPr>
      <w:r>
        <w:rPr>
          <w:rFonts w:hint="eastAsia" w:eastAsia="方正黑体_GBK"/>
        </w:rPr>
        <w:t>第三十一条</w:t>
      </w:r>
      <w:r>
        <w:rPr>
          <w:rFonts w:hint="eastAsia"/>
        </w:rPr>
        <w:t xml:space="preserve">  市级财政部门要加强对市级预算执行的监督检查，严格执行重大问题报告和通报制度，严肃查处违反财政法规和财经纪律的行为，保证市级财政资金安全、规范和有效使用。对违反本办法规定的行为，依据《中华人民共和国预算法》《中华人民共和国预算法实施条例》《财政违法行为处罚处分条例》等有关法律、法规的规定，对有关单位及其直接责任人员进行处理。</w:t>
      </w:r>
    </w:p>
    <w:p>
      <w:pPr>
        <w:spacing w:line="552" w:lineRule="exact"/>
        <w:ind w:firstLine="632" w:firstLineChars="200"/>
        <w:rPr>
          <w:rFonts w:hint="eastAsia"/>
        </w:rPr>
      </w:pPr>
      <w:r>
        <w:rPr>
          <w:rFonts w:hint="eastAsia" w:eastAsia="方正黑体_GBK"/>
        </w:rPr>
        <w:t xml:space="preserve">第三十二条 </w:t>
      </w:r>
      <w:r>
        <w:rPr>
          <w:rFonts w:hint="eastAsia"/>
        </w:rPr>
        <w:t xml:space="preserve"> 市人大财经委、市人大常委会预算工委、审计署重庆特派办、财政部重庆监管局、市审计部门和市级财政部门等对市级预算管理的监督检查结果与绩效评价结果，作为预算调整和以后年度预算编制的重要依据。</w:t>
      </w:r>
    </w:p>
    <w:p>
      <w:pPr>
        <w:spacing w:line="552" w:lineRule="exact"/>
        <w:ind w:firstLine="632" w:firstLineChars="200"/>
      </w:pPr>
    </w:p>
    <w:p>
      <w:pPr>
        <w:spacing w:line="552" w:lineRule="exact"/>
        <w:jc w:val="center"/>
        <w:rPr>
          <w:rFonts w:hint="eastAsia" w:eastAsia="方正黑体_GBK"/>
        </w:rPr>
      </w:pPr>
      <w:r>
        <w:rPr>
          <w:rFonts w:hint="eastAsia" w:eastAsia="方正黑体_GBK"/>
        </w:rPr>
        <w:t>第七章  附    则</w:t>
      </w:r>
    </w:p>
    <w:p>
      <w:pPr>
        <w:spacing w:line="552" w:lineRule="exact"/>
        <w:ind w:firstLine="632" w:firstLineChars="200"/>
      </w:pPr>
    </w:p>
    <w:p>
      <w:pPr>
        <w:spacing w:line="552" w:lineRule="exact"/>
        <w:ind w:firstLine="632" w:firstLineChars="200"/>
        <w:rPr>
          <w:rFonts w:hint="eastAsia"/>
        </w:rPr>
      </w:pPr>
      <w:r>
        <w:rPr>
          <w:rFonts w:hint="eastAsia" w:eastAsia="方正黑体_GBK"/>
        </w:rPr>
        <w:t xml:space="preserve">第三十三条 </w:t>
      </w:r>
      <w:r>
        <w:rPr>
          <w:rFonts w:hint="eastAsia"/>
        </w:rPr>
        <w:t xml:space="preserve"> 各区县政府可参照本办法，结合本地实际，制定本区县预算管理办法。</w:t>
      </w:r>
    </w:p>
    <w:p>
      <w:pPr>
        <w:spacing w:line="552" w:lineRule="exact"/>
        <w:ind w:firstLine="632" w:firstLineChars="200"/>
        <w:rPr>
          <w:rFonts w:hint="eastAsia"/>
        </w:rPr>
      </w:pPr>
      <w:r>
        <w:rPr>
          <w:rFonts w:hint="eastAsia" w:eastAsia="方正黑体_GBK"/>
        </w:rPr>
        <w:t>第三十四条</w:t>
      </w:r>
      <w:r>
        <w:rPr>
          <w:rFonts w:hint="eastAsia"/>
        </w:rPr>
        <w:t xml:space="preserve">  本办法自2022年1月1日起施行。</w:t>
      </w:r>
    </w:p>
    <w:p>
      <w:pPr>
        <w:ind w:firstLine="632" w:firstLineChars="200"/>
      </w:pPr>
      <w:r>
        <w:br w:type="page"/>
      </w:r>
    </w:p>
    <w:p>
      <w:pPr>
        <w:ind w:firstLine="632" w:firstLineChars="200"/>
      </w:pPr>
    </w:p>
    <w:p>
      <w:pPr>
        <w:spacing w:line="590" w:lineRule="exact"/>
        <w:jc w:val="center"/>
        <w:rPr>
          <w:rFonts w:hint="eastAsia" w:eastAsia="方正小标宋_GBK"/>
          <w:sz w:val="44"/>
          <w:szCs w:val="44"/>
        </w:rPr>
      </w:pPr>
      <w:r>
        <w:rPr>
          <w:rFonts w:hint="eastAsia" w:eastAsia="方正小标宋_GBK"/>
          <w:sz w:val="44"/>
          <w:szCs w:val="44"/>
        </w:rPr>
        <w:t>重庆市预决算信息公开管理办法</w:t>
      </w:r>
    </w:p>
    <w:p>
      <w:pPr>
        <w:jc w:val="center"/>
      </w:pPr>
    </w:p>
    <w:p>
      <w:pPr>
        <w:jc w:val="center"/>
        <w:rPr>
          <w:rFonts w:hint="eastAsia" w:eastAsia="方正黑体_GBK"/>
        </w:rPr>
      </w:pPr>
      <w:r>
        <w:rPr>
          <w:rFonts w:hint="eastAsia" w:eastAsia="方正黑体_GBK"/>
        </w:rPr>
        <w:t>第一章  总    则</w:t>
      </w:r>
    </w:p>
    <w:p>
      <w:pPr>
        <w:ind w:firstLine="632" w:firstLineChars="200"/>
      </w:pPr>
    </w:p>
    <w:p>
      <w:pPr>
        <w:ind w:firstLine="632" w:firstLineChars="200"/>
        <w:rPr>
          <w:rFonts w:hint="eastAsia"/>
        </w:rPr>
      </w:pPr>
      <w:r>
        <w:rPr>
          <w:rFonts w:hint="eastAsia" w:eastAsia="方正黑体_GBK"/>
        </w:rPr>
        <w:t xml:space="preserve">第一条 </w:t>
      </w:r>
      <w:r>
        <w:rPr>
          <w:rFonts w:hint="eastAsia"/>
        </w:rPr>
        <w:t xml:space="preserve"> 为进一步推动预决算信息公开工作，建立全面规范透明、标准科学、约束有力的预算制度，根据《中华人民共和国预算法》《中华人民共和国预算法实施条例》《中华人民共和国政府信息公开条例》《重庆市预算审查监督条例》等有关规定，结合我市实际，制定本办法。</w:t>
      </w:r>
    </w:p>
    <w:p>
      <w:pPr>
        <w:ind w:firstLine="632" w:firstLineChars="200"/>
        <w:rPr>
          <w:rFonts w:hint="eastAsia"/>
        </w:rPr>
      </w:pPr>
      <w:r>
        <w:rPr>
          <w:rFonts w:hint="eastAsia" w:eastAsia="方正黑体_GBK"/>
        </w:rPr>
        <w:t>第二条</w:t>
      </w:r>
      <w:r>
        <w:rPr>
          <w:rFonts w:hint="eastAsia"/>
        </w:rPr>
        <w:t xml:space="preserve">  本办法所称的预决算信息，是指我市经各级人民代表大会或其常务委员会批准的预算、预算调整、预算执行情况、决算的报告及报表，经全市各级财政部门批复的部门预算、决算及报表，经各部门批复的部门所属单位预算、决算及报表，以及财政管理制度等信息。</w:t>
      </w:r>
    </w:p>
    <w:p>
      <w:pPr>
        <w:ind w:firstLine="632" w:firstLineChars="200"/>
        <w:rPr>
          <w:rFonts w:hint="eastAsia"/>
        </w:rPr>
      </w:pPr>
      <w:r>
        <w:rPr>
          <w:rFonts w:hint="eastAsia" w:eastAsia="方正黑体_GBK"/>
        </w:rPr>
        <w:t xml:space="preserve">第三条 </w:t>
      </w:r>
      <w:r>
        <w:rPr>
          <w:rFonts w:hint="eastAsia"/>
        </w:rPr>
        <w:t xml:space="preserve"> 预决算信息公开遵循依法依规、真实完整、积极稳妥、分级负责的原则，以公开为常态、不公开为例外。</w:t>
      </w:r>
    </w:p>
    <w:p>
      <w:pPr>
        <w:ind w:firstLine="632" w:firstLineChars="200"/>
      </w:pPr>
    </w:p>
    <w:p>
      <w:pPr>
        <w:jc w:val="center"/>
        <w:rPr>
          <w:rFonts w:hint="eastAsia" w:eastAsia="方正黑体_GBK"/>
        </w:rPr>
      </w:pPr>
      <w:r>
        <w:rPr>
          <w:rFonts w:hint="eastAsia" w:eastAsia="方正黑体_GBK"/>
        </w:rPr>
        <w:t>第二章  公开主体和职责</w:t>
      </w:r>
    </w:p>
    <w:p>
      <w:pPr>
        <w:ind w:firstLine="632" w:firstLineChars="200"/>
      </w:pPr>
    </w:p>
    <w:p>
      <w:pPr>
        <w:ind w:firstLine="616" w:firstLineChars="200"/>
        <w:rPr>
          <w:rFonts w:hint="eastAsia"/>
          <w:spacing w:val="-4"/>
        </w:rPr>
      </w:pPr>
      <w:r>
        <w:rPr>
          <w:rFonts w:hint="eastAsia" w:eastAsia="方正黑体_GBK"/>
          <w:spacing w:val="-4"/>
        </w:rPr>
        <w:t>第四条</w:t>
      </w:r>
      <w:r>
        <w:rPr>
          <w:rFonts w:hint="eastAsia"/>
          <w:spacing w:val="-4"/>
        </w:rPr>
        <w:t xml:space="preserve">  各级财政部门应当在本级政府信息公开工作主管部门领导下，牵头负责本级政府预决算信息公开工作，履行以下职责：</w:t>
      </w:r>
    </w:p>
    <w:p>
      <w:pPr>
        <w:ind w:firstLine="632" w:firstLineChars="200"/>
        <w:rPr>
          <w:rFonts w:hint="eastAsia"/>
        </w:rPr>
      </w:pPr>
      <w:r>
        <w:rPr>
          <w:rFonts w:hint="eastAsia"/>
        </w:rPr>
        <w:t>（一）制定预决算公开管理制度；</w:t>
      </w:r>
    </w:p>
    <w:p>
      <w:pPr>
        <w:ind w:firstLine="632" w:firstLineChars="200"/>
        <w:rPr>
          <w:rFonts w:hint="eastAsia"/>
        </w:rPr>
      </w:pPr>
      <w:r>
        <w:rPr>
          <w:rFonts w:hint="eastAsia"/>
        </w:rPr>
        <w:t>（二）按照规定公开本级政府预决算信息；</w:t>
      </w:r>
    </w:p>
    <w:p>
      <w:pPr>
        <w:ind w:firstLine="632" w:firstLineChars="200"/>
        <w:rPr>
          <w:rFonts w:hint="eastAsia"/>
        </w:rPr>
      </w:pPr>
      <w:r>
        <w:rPr>
          <w:rFonts w:hint="eastAsia"/>
        </w:rPr>
        <w:t>（三）对本级使用财政资金的各部门（单位）和下级财政部门的预决算公开工作进行指导、监督、检查；</w:t>
      </w:r>
    </w:p>
    <w:p>
      <w:pPr>
        <w:ind w:firstLine="632" w:firstLineChars="200"/>
        <w:rPr>
          <w:rFonts w:hint="eastAsia"/>
        </w:rPr>
      </w:pPr>
      <w:r>
        <w:rPr>
          <w:rFonts w:hint="eastAsia"/>
        </w:rPr>
        <w:t>（四）向本级政府信息公开工作主管部门和上一级财政部门报告本地区预决算公开情况；</w:t>
      </w:r>
    </w:p>
    <w:p>
      <w:pPr>
        <w:ind w:firstLine="632" w:firstLineChars="200"/>
        <w:rPr>
          <w:rFonts w:hint="eastAsia"/>
        </w:rPr>
      </w:pPr>
      <w:r>
        <w:rPr>
          <w:rFonts w:hint="eastAsia"/>
        </w:rPr>
        <w:t>（五）法律法规规章规定的其他职责。</w:t>
      </w:r>
    </w:p>
    <w:p>
      <w:pPr>
        <w:ind w:firstLine="616" w:firstLineChars="200"/>
        <w:rPr>
          <w:rFonts w:hint="eastAsia"/>
          <w:spacing w:val="-4"/>
        </w:rPr>
      </w:pPr>
      <w:r>
        <w:rPr>
          <w:rFonts w:hint="eastAsia" w:eastAsia="方正黑体_GBK"/>
          <w:spacing w:val="-4"/>
        </w:rPr>
        <w:t xml:space="preserve">第五条 </w:t>
      </w:r>
      <w:r>
        <w:rPr>
          <w:rFonts w:hint="eastAsia"/>
          <w:spacing w:val="-4"/>
        </w:rPr>
        <w:t xml:space="preserve"> 各部门（单位）应当在本级政府信息公开工作主管部门领导下，负责本部门及所属单位预决算公开工作，履行以下职责：</w:t>
      </w:r>
    </w:p>
    <w:p>
      <w:pPr>
        <w:ind w:firstLine="632" w:firstLineChars="200"/>
        <w:rPr>
          <w:rFonts w:hint="eastAsia"/>
        </w:rPr>
      </w:pPr>
      <w:r>
        <w:rPr>
          <w:rFonts w:hint="eastAsia"/>
        </w:rPr>
        <w:t>（一）制定本部门（单位）及所属单位预决算信息公开的工作方案；</w:t>
      </w:r>
    </w:p>
    <w:p>
      <w:pPr>
        <w:ind w:firstLine="632" w:firstLineChars="200"/>
        <w:rPr>
          <w:rFonts w:hint="eastAsia"/>
        </w:rPr>
      </w:pPr>
      <w:r>
        <w:rPr>
          <w:rFonts w:hint="eastAsia"/>
        </w:rPr>
        <w:t>（二）按规定公开本部门（单位）及所属单位的预决算信息；</w:t>
      </w:r>
    </w:p>
    <w:p>
      <w:pPr>
        <w:ind w:firstLine="616" w:firstLineChars="200"/>
        <w:rPr>
          <w:rFonts w:hint="eastAsia"/>
          <w:spacing w:val="-4"/>
        </w:rPr>
      </w:pPr>
      <w:r>
        <w:rPr>
          <w:rFonts w:hint="eastAsia"/>
          <w:spacing w:val="-4"/>
        </w:rPr>
        <w:t>（三）对所属单位预决算信息公开工作进行指导、监督和检查；</w:t>
      </w:r>
    </w:p>
    <w:p>
      <w:pPr>
        <w:ind w:firstLine="632" w:firstLineChars="200"/>
        <w:rPr>
          <w:rFonts w:hint="eastAsia"/>
        </w:rPr>
      </w:pPr>
      <w:r>
        <w:rPr>
          <w:rFonts w:hint="eastAsia"/>
        </w:rPr>
        <w:t>（四）向本级政府信息公开主管部门和本级财政部门报告本部门（单位）预决算公开工作情况；</w:t>
      </w:r>
    </w:p>
    <w:p>
      <w:pPr>
        <w:ind w:firstLine="632" w:firstLineChars="200"/>
        <w:rPr>
          <w:rFonts w:hint="eastAsia"/>
        </w:rPr>
      </w:pPr>
      <w:r>
        <w:rPr>
          <w:rFonts w:hint="eastAsia"/>
        </w:rPr>
        <w:t>（五）法律法规规章规定的其他职责。</w:t>
      </w:r>
    </w:p>
    <w:p>
      <w:pPr>
        <w:ind w:firstLine="632" w:firstLineChars="200"/>
      </w:pPr>
    </w:p>
    <w:p>
      <w:pPr>
        <w:jc w:val="center"/>
        <w:rPr>
          <w:rFonts w:hint="eastAsia" w:eastAsia="方正黑体_GBK"/>
        </w:rPr>
      </w:pPr>
      <w:r>
        <w:rPr>
          <w:rFonts w:hint="eastAsia" w:eastAsia="方正黑体_GBK"/>
        </w:rPr>
        <w:t>第三章  公开内容</w:t>
      </w:r>
    </w:p>
    <w:p>
      <w:pPr>
        <w:ind w:firstLine="632" w:firstLineChars="200"/>
      </w:pPr>
    </w:p>
    <w:p>
      <w:pPr>
        <w:ind w:firstLine="632" w:firstLineChars="200"/>
        <w:rPr>
          <w:rFonts w:hint="eastAsia"/>
        </w:rPr>
      </w:pPr>
      <w:r>
        <w:rPr>
          <w:rFonts w:hint="eastAsia" w:eastAsia="方正黑体_GBK"/>
        </w:rPr>
        <w:t>第六条</w:t>
      </w:r>
      <w:r>
        <w:rPr>
          <w:rFonts w:hint="eastAsia"/>
        </w:rPr>
        <w:t xml:space="preserve">  政府预决算信息公开内容包括：</w:t>
      </w:r>
    </w:p>
    <w:p>
      <w:pPr>
        <w:ind w:firstLine="632" w:firstLineChars="200"/>
        <w:rPr>
          <w:rFonts w:hint="eastAsia"/>
        </w:rPr>
      </w:pPr>
      <w:r>
        <w:rPr>
          <w:rFonts w:hint="eastAsia"/>
        </w:rPr>
        <w:t>（一）本级财政收支预决算情况，包括一般公共预算、政府性基金预算、国有资本经营预算、社会保险基金预算；预决算支出应当公开到功能分类项级科目，按照经济性质分类款级科目公开基本支出，并逐步扩展到所有支出。</w:t>
      </w:r>
    </w:p>
    <w:p>
      <w:pPr>
        <w:ind w:firstLine="632" w:firstLineChars="200"/>
        <w:rPr>
          <w:rFonts w:hint="eastAsia"/>
        </w:rPr>
      </w:pPr>
      <w:r>
        <w:rPr>
          <w:rFonts w:hint="eastAsia"/>
        </w:rPr>
        <w:t>（二）本级财政转移支付情况。包括转移支付资金管理办法、预算安排和执行情况、专项转移支付绩效目标，以及一般性转移支付细化到地区、专项转移支付细化到地区和项目情况。</w:t>
      </w:r>
    </w:p>
    <w:p>
      <w:pPr>
        <w:ind w:firstLine="632" w:firstLineChars="200"/>
        <w:rPr>
          <w:rFonts w:hint="eastAsia"/>
        </w:rPr>
      </w:pPr>
      <w:r>
        <w:rPr>
          <w:rFonts w:hint="eastAsia"/>
        </w:rPr>
        <w:t>（三）政府债务、财政专户资金等情况，按照有关规定向社会公开。</w:t>
      </w:r>
    </w:p>
    <w:p>
      <w:pPr>
        <w:ind w:firstLine="632" w:firstLineChars="200"/>
        <w:rPr>
          <w:rFonts w:hint="eastAsia"/>
        </w:rPr>
      </w:pPr>
      <w:r>
        <w:rPr>
          <w:rFonts w:hint="eastAsia"/>
        </w:rPr>
        <w:t>（四）本级“三公”经费财政拨款预决算情况，包括“三公”经费总额和因公出国（境）费、公务接待费、公务用车购置及运行费（区分公务用车购置费、公务用车运行费两项）分项数额，并对增减变化情况进行说明。</w:t>
      </w:r>
    </w:p>
    <w:p>
      <w:pPr>
        <w:ind w:firstLine="632" w:firstLineChars="200"/>
        <w:rPr>
          <w:rFonts w:hint="eastAsia"/>
        </w:rPr>
      </w:pPr>
      <w:r>
        <w:rPr>
          <w:rFonts w:hint="eastAsia"/>
        </w:rPr>
        <w:t>（五）财政管理制度，包括税收征管、非税收入收缴、政府性基金项目、财政专户等财政收入制度，本级专项支出管理、转移支付管理、政府采购等财政支出制度，会计、国库、国有资产等其他财政管理制度。</w:t>
      </w:r>
    </w:p>
    <w:p>
      <w:pPr>
        <w:ind w:firstLine="632" w:firstLineChars="200"/>
        <w:rPr>
          <w:rFonts w:hint="eastAsia"/>
        </w:rPr>
      </w:pPr>
      <w:r>
        <w:rPr>
          <w:rFonts w:hint="eastAsia"/>
        </w:rPr>
        <w:t>（六）逐步公开重大投资项目资金安排及使用情况、政府综合财务报告；逐步公开本级专项资金情况，包括经本级人民代表大会批准的预算和专项资金清单目录。</w:t>
      </w:r>
    </w:p>
    <w:p>
      <w:pPr>
        <w:ind w:firstLine="632" w:firstLineChars="200"/>
        <w:rPr>
          <w:rFonts w:hint="eastAsia"/>
        </w:rPr>
      </w:pPr>
      <w:r>
        <w:rPr>
          <w:rFonts w:hint="eastAsia" w:eastAsia="方正黑体_GBK"/>
        </w:rPr>
        <w:t xml:space="preserve">第七条  </w:t>
      </w:r>
      <w:r>
        <w:rPr>
          <w:rFonts w:hint="eastAsia"/>
        </w:rPr>
        <w:t>部门（单位）预决算信息公开内容包括：</w:t>
      </w:r>
    </w:p>
    <w:p>
      <w:pPr>
        <w:ind w:firstLine="616" w:firstLineChars="200"/>
        <w:rPr>
          <w:rFonts w:hint="eastAsia"/>
          <w:spacing w:val="-4"/>
        </w:rPr>
      </w:pPr>
      <w:r>
        <w:rPr>
          <w:rFonts w:hint="eastAsia"/>
          <w:spacing w:val="-4"/>
        </w:rPr>
        <w:t>（一）预决算收支情况，包括部门（单位）收支总体情况和财政拨款收支情况；部门（单位）预算、决算应当公开基本支出和项目支出；部门（单位）预算、决算按其功能分类应当公开到项，按经济性质分类款级科目公开基本支出，并逐步扩展到所有支出。</w:t>
      </w:r>
    </w:p>
    <w:p>
      <w:pPr>
        <w:ind w:firstLine="632" w:firstLineChars="200"/>
        <w:rPr>
          <w:rFonts w:hint="eastAsia"/>
        </w:rPr>
      </w:pPr>
      <w:r>
        <w:rPr>
          <w:rFonts w:hint="eastAsia"/>
        </w:rPr>
        <w:t>（二）项目预算安排、使用情况等项目信息。</w:t>
      </w:r>
    </w:p>
    <w:p>
      <w:pPr>
        <w:ind w:firstLine="632" w:firstLineChars="200"/>
        <w:rPr>
          <w:rFonts w:hint="eastAsia"/>
        </w:rPr>
      </w:pPr>
      <w:r>
        <w:rPr>
          <w:rFonts w:hint="eastAsia"/>
        </w:rPr>
        <w:t>（三）部门（单位）“三公”经费财政拨款预决算情况，包括“三公”经费总额和因公出国（境）费、公务接待费、公务用车购置费、公务用车运行费分项数额，并对增减变化情况进行说明。部门（单位）“三公”经费决算公开应说明因公出国（境）团组数及人数，公务用车购置数及保有量，国内公务接待的批次、人数等情况。</w:t>
      </w:r>
    </w:p>
    <w:p>
      <w:pPr>
        <w:ind w:firstLine="632" w:firstLineChars="200"/>
        <w:rPr>
          <w:rFonts w:hint="eastAsia"/>
        </w:rPr>
      </w:pPr>
      <w:r>
        <w:rPr>
          <w:rFonts w:hint="eastAsia"/>
        </w:rPr>
        <w:t>（四）部门（单位）职能和职责、机构设置、机关运行经费、预决算收支增减变化、政府采购等情况的说明，并对专业性较强的术语进行解释。</w:t>
      </w:r>
    </w:p>
    <w:p>
      <w:pPr>
        <w:ind w:firstLine="632" w:firstLineChars="200"/>
        <w:rPr>
          <w:rFonts w:hint="eastAsia"/>
        </w:rPr>
      </w:pPr>
      <w:r>
        <w:rPr>
          <w:rFonts w:hint="eastAsia"/>
        </w:rPr>
        <w:t>（五）结合工作进展情况，逐步公开国有资产占用、重点项目预算的绩效目标和绩效评价结果等情况；逐步公开专项资金情况，包括专项资金分配结果，以及管理办法、申报指南、申报情况、绩效目标等文件信息。</w:t>
      </w:r>
    </w:p>
    <w:p>
      <w:pPr>
        <w:ind w:firstLine="632" w:firstLineChars="200"/>
      </w:pPr>
    </w:p>
    <w:p>
      <w:pPr>
        <w:jc w:val="center"/>
        <w:rPr>
          <w:rFonts w:hint="eastAsia" w:eastAsia="方正黑体_GBK"/>
        </w:rPr>
      </w:pPr>
      <w:r>
        <w:rPr>
          <w:rFonts w:hint="eastAsia" w:eastAsia="方正黑体_GBK"/>
        </w:rPr>
        <w:t>第四章  公开时间</w:t>
      </w:r>
    </w:p>
    <w:p>
      <w:pPr>
        <w:ind w:firstLine="632" w:firstLineChars="200"/>
      </w:pPr>
    </w:p>
    <w:p>
      <w:pPr>
        <w:ind w:firstLine="632" w:firstLineChars="200"/>
        <w:rPr>
          <w:rFonts w:hint="eastAsia"/>
        </w:rPr>
      </w:pPr>
      <w:r>
        <w:rPr>
          <w:rFonts w:hint="eastAsia" w:eastAsia="方正黑体_GBK"/>
        </w:rPr>
        <w:t>第八条</w:t>
      </w:r>
      <w:r>
        <w:rPr>
          <w:rFonts w:hint="eastAsia"/>
        </w:rPr>
        <w:t xml:space="preserve">  政府预决算应当在本级人民代表大会或其常务委员会批准后20日内，由本级财政部门向社会公开，鼓励提前公开。</w:t>
      </w:r>
    </w:p>
    <w:p>
      <w:pPr>
        <w:ind w:firstLine="632" w:firstLineChars="200"/>
        <w:rPr>
          <w:rFonts w:hint="eastAsia"/>
        </w:rPr>
      </w:pPr>
      <w:r>
        <w:rPr>
          <w:rFonts w:hint="eastAsia" w:eastAsia="方正黑体_GBK"/>
        </w:rPr>
        <w:t>第九条</w:t>
      </w:r>
      <w:r>
        <w:rPr>
          <w:rFonts w:hint="eastAsia"/>
        </w:rPr>
        <w:t xml:space="preserve">  部门预决算应当在本级财政部门批复后20日内，由各部门向社会公开；各部门所属单位预决算，应当在部门批复后20日内向社会公开，鼓励提前公开，原则上在同一天集中公开。</w:t>
      </w:r>
    </w:p>
    <w:p>
      <w:pPr>
        <w:ind w:firstLine="632" w:firstLineChars="200"/>
        <w:rPr>
          <w:rFonts w:hint="eastAsia"/>
        </w:rPr>
      </w:pPr>
      <w:r>
        <w:rPr>
          <w:rFonts w:hint="eastAsia" w:eastAsia="方正黑体_GBK"/>
        </w:rPr>
        <w:t>第十条</w:t>
      </w:r>
      <w:r>
        <w:rPr>
          <w:rFonts w:hint="eastAsia"/>
        </w:rPr>
        <w:t xml:space="preserve">  财政管理制度、重大投资项目情况、专项资金分配情况等信息应当在形成或者变更之日起20日内主动公开，法律法规规章对公开的期限另有规定的，从其规定。</w:t>
      </w:r>
    </w:p>
    <w:p>
      <w:pPr>
        <w:ind w:firstLine="632" w:firstLineChars="200"/>
      </w:pPr>
    </w:p>
    <w:p>
      <w:pPr>
        <w:jc w:val="center"/>
        <w:rPr>
          <w:rFonts w:hint="eastAsia" w:eastAsia="方正黑体_GBK"/>
        </w:rPr>
      </w:pPr>
      <w:r>
        <w:rPr>
          <w:rFonts w:hint="eastAsia" w:eastAsia="方正黑体_GBK"/>
        </w:rPr>
        <w:t>第五章  公开形式</w:t>
      </w:r>
    </w:p>
    <w:p>
      <w:pPr>
        <w:ind w:firstLine="632" w:firstLineChars="200"/>
      </w:pPr>
    </w:p>
    <w:p>
      <w:pPr>
        <w:ind w:firstLine="632" w:firstLineChars="200"/>
        <w:rPr>
          <w:rFonts w:hint="eastAsia"/>
        </w:rPr>
      </w:pPr>
      <w:r>
        <w:rPr>
          <w:rFonts w:hint="eastAsia" w:eastAsia="方正黑体_GBK"/>
        </w:rPr>
        <w:t xml:space="preserve">第十一条 </w:t>
      </w:r>
      <w:r>
        <w:rPr>
          <w:rFonts w:hint="eastAsia"/>
        </w:rPr>
        <w:t xml:space="preserve"> 预决算信息公开以政府或部门（单位）门户网站为主要平台，并保持长期公开状态。</w:t>
      </w:r>
    </w:p>
    <w:p>
      <w:pPr>
        <w:ind w:firstLine="632" w:firstLineChars="200"/>
        <w:rPr>
          <w:rFonts w:hint="eastAsia"/>
        </w:rPr>
      </w:pPr>
      <w:r>
        <w:rPr>
          <w:rFonts w:hint="eastAsia" w:eastAsia="方正黑体_GBK"/>
        </w:rPr>
        <w:t>第十二条</w:t>
      </w:r>
      <w:r>
        <w:rPr>
          <w:rFonts w:hint="eastAsia"/>
        </w:rPr>
        <w:t xml:space="preserve">  全市各级财政部门应当在本级政府或财政部门门户网站上设立预决算公开统一平台（或专栏），将政府预决算、部门预决算信息在平台（或专栏）上集中公开，方便社会公众查询监督。</w:t>
      </w:r>
    </w:p>
    <w:p>
      <w:pPr>
        <w:ind w:firstLine="632" w:firstLineChars="200"/>
        <w:rPr>
          <w:rFonts w:hint="eastAsia"/>
        </w:rPr>
      </w:pPr>
      <w:r>
        <w:rPr>
          <w:rFonts w:hint="eastAsia" w:eastAsia="方正黑体_GBK"/>
        </w:rPr>
        <w:t>第十三条</w:t>
      </w:r>
      <w:r>
        <w:rPr>
          <w:rFonts w:hint="eastAsia"/>
        </w:rPr>
        <w:t xml:space="preserve">  各部门（单位）及所属单位建有门户网站的，应当在门户网站上设立预决算公开专栏，汇总集中公开信息；没有门户网站的，应委托本级政府或财政部门在其门户网站上公开，并积极推动门户网站建设。</w:t>
      </w:r>
    </w:p>
    <w:p>
      <w:pPr>
        <w:spacing w:line="560" w:lineRule="exact"/>
        <w:ind w:firstLine="632" w:firstLineChars="200"/>
      </w:pPr>
    </w:p>
    <w:p>
      <w:pPr>
        <w:spacing w:line="560" w:lineRule="exact"/>
        <w:jc w:val="center"/>
        <w:rPr>
          <w:rFonts w:hint="eastAsia" w:eastAsia="方正黑体_GBK"/>
        </w:rPr>
      </w:pPr>
      <w:r>
        <w:rPr>
          <w:rFonts w:hint="eastAsia" w:eastAsia="方正黑体_GBK"/>
        </w:rPr>
        <w:t>第六章  监督管理</w:t>
      </w:r>
    </w:p>
    <w:p>
      <w:pPr>
        <w:spacing w:line="560" w:lineRule="exact"/>
        <w:ind w:firstLine="632" w:firstLineChars="200"/>
      </w:pPr>
    </w:p>
    <w:p>
      <w:pPr>
        <w:spacing w:line="606" w:lineRule="exact"/>
        <w:ind w:firstLine="648" w:firstLineChars="200"/>
        <w:rPr>
          <w:rFonts w:hint="eastAsia"/>
          <w:spacing w:val="4"/>
        </w:rPr>
      </w:pPr>
      <w:r>
        <w:rPr>
          <w:rFonts w:hint="eastAsia" w:eastAsia="方正黑体_GBK"/>
          <w:spacing w:val="4"/>
        </w:rPr>
        <w:t>第十四条</w:t>
      </w:r>
      <w:r>
        <w:rPr>
          <w:rFonts w:hint="eastAsia"/>
          <w:spacing w:val="4"/>
        </w:rPr>
        <w:t xml:space="preserve">  全市各级政府加强对预决算信息公开工作的组织领导，按照方向明确、过程可控、结果可查、便于监督的原则，建立健全定期考核机制，加大预决算信息考核力度，督促本地区部门（单位）主动公开预决算信息。对未按照规定公开的，依法追究负有直接责任的主管人员和其他直接责任人员的行政责任。</w:t>
      </w:r>
    </w:p>
    <w:p>
      <w:pPr>
        <w:spacing w:line="606" w:lineRule="exact"/>
        <w:ind w:firstLine="632" w:firstLineChars="200"/>
        <w:rPr>
          <w:rFonts w:hint="eastAsia"/>
        </w:rPr>
      </w:pPr>
      <w:r>
        <w:rPr>
          <w:rFonts w:hint="eastAsia" w:eastAsia="方正黑体_GBK"/>
        </w:rPr>
        <w:t>第十五条</w:t>
      </w:r>
      <w:r>
        <w:rPr>
          <w:rFonts w:hint="eastAsia"/>
        </w:rPr>
        <w:t xml:space="preserve">  各部门（单位）严格按照保守国家秘密以及其他法律法规和有关规定，做好预决算信息涉密事项的定密、解密及信息公开的保密审查工作，在预决算编制环节对涉密科目和不予公开的原因进行书面说明。各级保密部门做好指导工作，各级财政部门在法定涉密信息的技术处理方面做好配合工作，预决算信息中涉及国家秘密的，依法不予公开。</w:t>
      </w:r>
    </w:p>
    <w:p>
      <w:pPr>
        <w:spacing w:line="606" w:lineRule="exact"/>
        <w:ind w:firstLine="632" w:firstLineChars="200"/>
        <w:rPr>
          <w:rFonts w:hint="eastAsia"/>
        </w:rPr>
      </w:pPr>
      <w:r>
        <w:rPr>
          <w:rFonts w:hint="eastAsia" w:eastAsia="方正黑体_GBK"/>
        </w:rPr>
        <w:t>第十六条</w:t>
      </w:r>
      <w:r>
        <w:rPr>
          <w:rFonts w:hint="eastAsia"/>
        </w:rPr>
        <w:t xml:space="preserve">  各级财政部门加强对本地区预决算公开工作的指导、监督、检查，将本级各部门（单位）和下级财政部门的预决算公开情况纳入综合绩效评价范围，增强职能部门和相关人员责任。加强与同级政府信息公开主管部门和审计等部门的沟通协调，预决算信息公开工作中遇到重大问题要及时向同级政府信息公开工作主管部门和上级财政部门报告。</w:t>
      </w:r>
    </w:p>
    <w:p>
      <w:pPr>
        <w:spacing w:line="606" w:lineRule="exact"/>
        <w:ind w:firstLine="632" w:firstLineChars="200"/>
        <w:rPr>
          <w:rFonts w:hint="eastAsia"/>
        </w:rPr>
      </w:pPr>
      <w:r>
        <w:rPr>
          <w:rFonts w:hint="eastAsia" w:eastAsia="方正黑体_GBK"/>
        </w:rPr>
        <w:t>第十七条</w:t>
      </w:r>
      <w:r>
        <w:rPr>
          <w:rFonts w:hint="eastAsia"/>
        </w:rPr>
        <w:t xml:space="preserve">  各部门（单位）应密切关注预决算公开中反映的问题，做好舆论引导，主动回应社会公众普遍关注的问题，及时解疑释惑。涉及部门（单位）共性问题，应及时与同级财政部门沟通。</w:t>
      </w:r>
    </w:p>
    <w:p>
      <w:pPr>
        <w:ind w:firstLine="632" w:firstLineChars="200"/>
      </w:pPr>
    </w:p>
    <w:p>
      <w:pPr>
        <w:jc w:val="center"/>
        <w:rPr>
          <w:rFonts w:hint="eastAsia" w:eastAsia="方正黑体_GBK"/>
        </w:rPr>
      </w:pPr>
      <w:r>
        <w:rPr>
          <w:rFonts w:hint="eastAsia" w:eastAsia="方正黑体_GBK"/>
        </w:rPr>
        <w:t>第七章  附    则</w:t>
      </w:r>
    </w:p>
    <w:p>
      <w:pPr>
        <w:ind w:firstLine="632" w:firstLineChars="200"/>
      </w:pPr>
    </w:p>
    <w:p>
      <w:pPr>
        <w:ind w:firstLine="632" w:firstLineChars="200"/>
        <w:rPr>
          <w:rFonts w:hint="eastAsia"/>
        </w:rPr>
      </w:pPr>
      <w:r>
        <w:rPr>
          <w:rFonts w:hint="eastAsia" w:eastAsia="方正黑体_GBK"/>
        </w:rPr>
        <w:t>第十八条</w:t>
      </w:r>
      <w:r>
        <w:rPr>
          <w:rFonts w:hint="eastAsia"/>
        </w:rPr>
        <w:t xml:space="preserve">  各区县政府根据有关规定，结合实际，制定本级预决算信息公开实施细则，完善工作机制，规范工作流程，提升预决算公开管理水平。</w:t>
      </w:r>
    </w:p>
    <w:p>
      <w:pPr>
        <w:ind w:firstLine="632" w:firstLineChars="200"/>
        <w:rPr>
          <w:rFonts w:hint="eastAsia"/>
        </w:rPr>
      </w:pPr>
      <w:r>
        <w:rPr>
          <w:rFonts w:hint="eastAsia" w:eastAsia="方正黑体_GBK"/>
        </w:rPr>
        <w:t>第十九条</w:t>
      </w:r>
      <w:r>
        <w:rPr>
          <w:rFonts w:hint="eastAsia"/>
        </w:rPr>
        <w:t xml:space="preserve">  本办法自2022年1月1日起施行。</w:t>
      </w:r>
    </w:p>
    <w:p>
      <w:pPr>
        <w:ind w:firstLine="632" w:firstLineChars="200"/>
      </w:pPr>
    </w:p>
    <w:p>
      <w:pPr>
        <w:ind w:firstLine="632" w:firstLineChars="200"/>
      </w:pPr>
      <w:r>
        <w:br w:type="page"/>
      </w:r>
    </w:p>
    <w:p>
      <w:pPr>
        <w:ind w:firstLine="632" w:firstLineChars="200"/>
      </w:pPr>
    </w:p>
    <w:p>
      <w:pPr>
        <w:spacing w:line="590" w:lineRule="exact"/>
        <w:jc w:val="center"/>
        <w:rPr>
          <w:rFonts w:hint="eastAsia" w:eastAsia="方正小标宋_GBK"/>
          <w:sz w:val="44"/>
          <w:szCs w:val="44"/>
        </w:rPr>
      </w:pPr>
      <w:r>
        <w:rPr>
          <w:rFonts w:hint="eastAsia" w:eastAsia="方正小标宋_GBK"/>
          <w:sz w:val="44"/>
          <w:szCs w:val="44"/>
        </w:rPr>
        <w:t>重庆市市级重点专项资金管理办法</w:t>
      </w:r>
    </w:p>
    <w:p>
      <w:pPr>
        <w:jc w:val="center"/>
      </w:pPr>
    </w:p>
    <w:p>
      <w:pPr>
        <w:jc w:val="center"/>
        <w:rPr>
          <w:rFonts w:hint="eastAsia" w:eastAsia="方正黑体_GBK"/>
        </w:rPr>
      </w:pPr>
      <w:r>
        <w:rPr>
          <w:rFonts w:hint="eastAsia" w:eastAsia="方正黑体_GBK"/>
        </w:rPr>
        <w:t>第一章  总    则</w:t>
      </w:r>
    </w:p>
    <w:p>
      <w:pPr>
        <w:ind w:firstLine="632" w:firstLineChars="200"/>
      </w:pPr>
    </w:p>
    <w:p>
      <w:pPr>
        <w:ind w:firstLine="632" w:firstLineChars="200"/>
        <w:rPr>
          <w:rFonts w:hint="eastAsia"/>
        </w:rPr>
      </w:pPr>
      <w:r>
        <w:rPr>
          <w:rFonts w:hint="eastAsia" w:eastAsia="方正黑体_GBK"/>
        </w:rPr>
        <w:t xml:space="preserve">第一条 </w:t>
      </w:r>
      <w:r>
        <w:rPr>
          <w:rFonts w:hint="eastAsia"/>
        </w:rPr>
        <w:t xml:space="preserve"> 为进一步规范和加强市级重点专项资金管理，建立科学、规范、高效的专项资金管理体制和运行机制，提高财政资金使用效益，根据《中华人民共和国预算法》《中华人民共和国预算法实施条例》《重庆市预算审查监督条例》等规定，结合实际，制定本办法。</w:t>
      </w:r>
    </w:p>
    <w:p>
      <w:pPr>
        <w:ind w:firstLine="632" w:firstLineChars="200"/>
        <w:rPr>
          <w:rFonts w:hint="eastAsia"/>
        </w:rPr>
      </w:pPr>
      <w:r>
        <w:rPr>
          <w:rFonts w:hint="eastAsia" w:eastAsia="方正黑体_GBK"/>
        </w:rPr>
        <w:t xml:space="preserve">第二条 </w:t>
      </w:r>
      <w:r>
        <w:rPr>
          <w:rFonts w:hint="eastAsia"/>
        </w:rPr>
        <w:t xml:space="preserve"> 本办法所称市级重点专项资金（以下简称专项资金）是指按照党中央、国务院决策部署和市委、市政府工作安排，由主管部门组织实施，落实到特定事项、特定对象的，非行政成本类的项目预算。不包括为保障市级部门和单位履行职能所需而设立的一般性项目的经费。</w:t>
      </w:r>
    </w:p>
    <w:p>
      <w:pPr>
        <w:ind w:firstLine="632" w:firstLineChars="200"/>
        <w:rPr>
          <w:rFonts w:hint="eastAsia"/>
        </w:rPr>
      </w:pPr>
      <w:r>
        <w:rPr>
          <w:rFonts w:hint="eastAsia"/>
        </w:rPr>
        <w:t>中央财政补助的专项资金需市级财力相应安排的，市级财力安排部分按本办法规定管理。中央另有规定的，从其规定。</w:t>
      </w:r>
    </w:p>
    <w:p>
      <w:pPr>
        <w:ind w:firstLine="632" w:firstLineChars="200"/>
        <w:rPr>
          <w:rFonts w:hint="eastAsia"/>
        </w:rPr>
      </w:pPr>
      <w:r>
        <w:rPr>
          <w:rFonts w:hint="eastAsia" w:eastAsia="方正黑体_GBK"/>
        </w:rPr>
        <w:t>第三条</w:t>
      </w:r>
      <w:r>
        <w:rPr>
          <w:rFonts w:hint="eastAsia"/>
        </w:rPr>
        <w:t xml:space="preserve">  专项资金的设立、调整、撤销、使用、监督和预算管理适用本办法。</w:t>
      </w:r>
    </w:p>
    <w:p>
      <w:pPr>
        <w:ind w:firstLine="632" w:firstLineChars="200"/>
        <w:rPr>
          <w:rFonts w:hint="eastAsia"/>
        </w:rPr>
      </w:pPr>
      <w:r>
        <w:rPr>
          <w:rFonts w:hint="eastAsia" w:eastAsia="方正黑体_GBK"/>
        </w:rPr>
        <w:t>第四条</w:t>
      </w:r>
      <w:r>
        <w:rPr>
          <w:rFonts w:hint="eastAsia"/>
        </w:rPr>
        <w:t xml:space="preserve">  专项资金应遵循科学设立、规范管理、讲求绩效、公开透明的原则。</w:t>
      </w:r>
    </w:p>
    <w:p>
      <w:pPr>
        <w:ind w:firstLine="632" w:firstLineChars="200"/>
      </w:pPr>
    </w:p>
    <w:p>
      <w:pPr>
        <w:jc w:val="center"/>
        <w:rPr>
          <w:rFonts w:hint="eastAsia" w:eastAsia="方正黑体_GBK"/>
        </w:rPr>
      </w:pPr>
      <w:r>
        <w:rPr>
          <w:rFonts w:hint="eastAsia" w:eastAsia="方正黑体_GBK"/>
        </w:rPr>
        <w:t>第二章  管理职责</w:t>
      </w:r>
    </w:p>
    <w:p>
      <w:pPr>
        <w:ind w:firstLine="632" w:firstLineChars="200"/>
      </w:pPr>
    </w:p>
    <w:p>
      <w:pPr>
        <w:ind w:firstLine="632" w:firstLineChars="200"/>
        <w:rPr>
          <w:rFonts w:hint="eastAsia"/>
        </w:rPr>
      </w:pPr>
      <w:r>
        <w:rPr>
          <w:rFonts w:hint="eastAsia" w:eastAsia="方正黑体_GBK"/>
        </w:rPr>
        <w:t>第五条</w:t>
      </w:r>
      <w:r>
        <w:rPr>
          <w:rFonts w:hint="eastAsia"/>
        </w:rPr>
        <w:t xml:space="preserve">  市级财政部门应当履行以下专项资金管理职责：</w:t>
      </w:r>
    </w:p>
    <w:p>
      <w:pPr>
        <w:ind w:firstLine="632" w:firstLineChars="200"/>
        <w:rPr>
          <w:rFonts w:hint="eastAsia"/>
        </w:rPr>
      </w:pPr>
      <w:r>
        <w:rPr>
          <w:rFonts w:hint="eastAsia"/>
        </w:rPr>
        <w:t>（一）负责研究制定专项资金管理政策，会同市级主管部门建立健全专项资金的具体管理办法；</w:t>
      </w:r>
    </w:p>
    <w:p>
      <w:pPr>
        <w:ind w:firstLine="632" w:firstLineChars="200"/>
        <w:rPr>
          <w:rFonts w:hint="eastAsia"/>
        </w:rPr>
      </w:pPr>
      <w:r>
        <w:rPr>
          <w:rFonts w:hint="eastAsia"/>
        </w:rPr>
        <w:t>（二）负责专项资金设立、调整、撤销等事项的审核，负责专项资金的调度和统筹安排使用；</w:t>
      </w:r>
    </w:p>
    <w:p>
      <w:pPr>
        <w:ind w:firstLine="632" w:firstLineChars="200"/>
        <w:rPr>
          <w:rFonts w:hint="eastAsia"/>
        </w:rPr>
      </w:pPr>
      <w:r>
        <w:rPr>
          <w:rFonts w:hint="eastAsia"/>
        </w:rPr>
        <w:t>（三）组织专项资金预算的编制，审核、汇总专项资金预算，按规定程序报批后及时批复预算，并按规定办理专项资金拨款；</w:t>
      </w:r>
    </w:p>
    <w:p>
      <w:pPr>
        <w:ind w:firstLine="632" w:firstLineChars="200"/>
        <w:rPr>
          <w:rFonts w:hint="eastAsia"/>
        </w:rPr>
      </w:pPr>
      <w:r>
        <w:rPr>
          <w:rFonts w:hint="eastAsia"/>
        </w:rPr>
        <w:t>（四）组织实施专项资金的目录清单管理、项目库管理和总体公开工作；</w:t>
      </w:r>
    </w:p>
    <w:p>
      <w:pPr>
        <w:ind w:firstLine="632" w:firstLineChars="200"/>
        <w:rPr>
          <w:rFonts w:hint="eastAsia"/>
        </w:rPr>
      </w:pPr>
      <w:r>
        <w:rPr>
          <w:rFonts w:hint="eastAsia"/>
        </w:rPr>
        <w:t>（五）组织开展专项资金绩效管理和财政监督检查；</w:t>
      </w:r>
    </w:p>
    <w:p>
      <w:pPr>
        <w:ind w:firstLine="632" w:firstLineChars="200"/>
        <w:rPr>
          <w:rFonts w:hint="eastAsia"/>
        </w:rPr>
      </w:pPr>
      <w:r>
        <w:rPr>
          <w:rFonts w:hint="eastAsia"/>
        </w:rPr>
        <w:t>（六）组织实施专项资金到期或撤销后的清算、资金回收以及其他相关管理工作；</w:t>
      </w:r>
    </w:p>
    <w:p>
      <w:pPr>
        <w:ind w:firstLine="632" w:firstLineChars="200"/>
        <w:rPr>
          <w:rFonts w:hint="eastAsia"/>
        </w:rPr>
      </w:pPr>
      <w:r>
        <w:rPr>
          <w:rFonts w:hint="eastAsia"/>
        </w:rPr>
        <w:t>（七）法律、法规、规章规定的其他职责。</w:t>
      </w:r>
    </w:p>
    <w:p>
      <w:pPr>
        <w:ind w:firstLine="632" w:firstLineChars="200"/>
        <w:rPr>
          <w:rFonts w:hint="eastAsia"/>
        </w:rPr>
      </w:pPr>
      <w:r>
        <w:rPr>
          <w:rFonts w:hint="eastAsia" w:eastAsia="方正黑体_GBK"/>
        </w:rPr>
        <w:t xml:space="preserve">第六条 </w:t>
      </w:r>
      <w:r>
        <w:rPr>
          <w:rFonts w:hint="eastAsia"/>
        </w:rPr>
        <w:t xml:space="preserve"> 市级主管部门按照部门职责分工，对专项资金履行牵头管理或归口管理职责：</w:t>
      </w:r>
    </w:p>
    <w:p>
      <w:pPr>
        <w:ind w:firstLine="632" w:firstLineChars="200"/>
        <w:rPr>
          <w:rFonts w:hint="eastAsia"/>
        </w:rPr>
      </w:pPr>
      <w:r>
        <w:rPr>
          <w:rFonts w:hint="eastAsia"/>
        </w:rPr>
        <w:t>（一）负责专项资金的前期论证，提出专项资金设立、调整和撤销申请；</w:t>
      </w:r>
    </w:p>
    <w:p>
      <w:pPr>
        <w:ind w:firstLine="632" w:firstLineChars="200"/>
        <w:rPr>
          <w:rFonts w:hint="eastAsia"/>
        </w:rPr>
      </w:pPr>
      <w:r>
        <w:rPr>
          <w:rFonts w:hint="eastAsia"/>
        </w:rPr>
        <w:t>（二）制定具体专项资金管理办法，负责专项资金的具体管理工作；</w:t>
      </w:r>
    </w:p>
    <w:p>
      <w:pPr>
        <w:ind w:firstLine="632" w:firstLineChars="200"/>
        <w:rPr>
          <w:rFonts w:hint="eastAsia"/>
        </w:rPr>
      </w:pPr>
      <w:r>
        <w:rPr>
          <w:rFonts w:hint="eastAsia"/>
        </w:rPr>
        <w:t>（三）负责专项资金预算编制、汇总、申报和执行，对专项资金进行财务管理和会计核算；</w:t>
      </w:r>
    </w:p>
    <w:p>
      <w:pPr>
        <w:ind w:firstLine="632" w:firstLineChars="200"/>
        <w:rPr>
          <w:rFonts w:hint="eastAsia"/>
        </w:rPr>
      </w:pPr>
      <w:r>
        <w:rPr>
          <w:rFonts w:hint="eastAsia"/>
        </w:rPr>
        <w:t>（四）提出专项资金绩效目标，对资金使用情况进行监督检查，按照市级财政部门下达的绩效目标对专项资金实施绩效管理；</w:t>
      </w:r>
    </w:p>
    <w:p>
      <w:pPr>
        <w:ind w:firstLine="632" w:firstLineChars="200"/>
        <w:rPr>
          <w:rFonts w:hint="eastAsia"/>
        </w:rPr>
      </w:pPr>
      <w:r>
        <w:rPr>
          <w:rFonts w:hint="eastAsia"/>
        </w:rPr>
        <w:t>（五）建立和管理市本级专项资金项目库，牵头组织项目申报、评审和资金分配，监督指导项目实施；</w:t>
      </w:r>
    </w:p>
    <w:p>
      <w:pPr>
        <w:ind w:firstLine="632" w:firstLineChars="200"/>
        <w:rPr>
          <w:rFonts w:hint="eastAsia"/>
        </w:rPr>
      </w:pPr>
      <w:r>
        <w:rPr>
          <w:rFonts w:hint="eastAsia"/>
        </w:rPr>
        <w:t>（六）具体实施专项资金信息公开；</w:t>
      </w:r>
    </w:p>
    <w:p>
      <w:pPr>
        <w:ind w:firstLine="632" w:firstLineChars="200"/>
        <w:rPr>
          <w:rFonts w:hint="eastAsia"/>
        </w:rPr>
      </w:pPr>
      <w:r>
        <w:rPr>
          <w:rFonts w:hint="eastAsia"/>
        </w:rPr>
        <w:t>（七）法律、法规、规章规定的其他职责。</w:t>
      </w:r>
    </w:p>
    <w:p>
      <w:pPr>
        <w:ind w:firstLine="616" w:firstLineChars="200"/>
        <w:rPr>
          <w:rFonts w:hint="eastAsia"/>
          <w:spacing w:val="-4"/>
        </w:rPr>
      </w:pPr>
      <w:r>
        <w:rPr>
          <w:rFonts w:hint="eastAsia" w:eastAsia="方正黑体_GBK"/>
          <w:spacing w:val="-4"/>
        </w:rPr>
        <w:t xml:space="preserve">第七条 </w:t>
      </w:r>
      <w:r>
        <w:rPr>
          <w:rFonts w:hint="eastAsia"/>
          <w:spacing w:val="-4"/>
        </w:rPr>
        <w:t xml:space="preserve"> 市级审计部门负责对专项资金的分配、使用、管理进行审计监督，对落实专项资金审计意见的整改情况进行监督检查。</w:t>
      </w:r>
    </w:p>
    <w:p>
      <w:pPr>
        <w:ind w:firstLine="632" w:firstLineChars="200"/>
      </w:pPr>
    </w:p>
    <w:p>
      <w:pPr>
        <w:jc w:val="center"/>
        <w:rPr>
          <w:rFonts w:hint="eastAsia" w:eastAsia="方正黑体_GBK"/>
        </w:rPr>
      </w:pPr>
      <w:r>
        <w:rPr>
          <w:rFonts w:hint="eastAsia" w:eastAsia="方正黑体_GBK"/>
        </w:rPr>
        <w:t>第三章  设立、调整和撤销</w:t>
      </w:r>
    </w:p>
    <w:p>
      <w:pPr>
        <w:ind w:firstLine="632" w:firstLineChars="200"/>
      </w:pPr>
    </w:p>
    <w:p>
      <w:pPr>
        <w:ind w:firstLine="632" w:firstLineChars="200"/>
        <w:rPr>
          <w:rFonts w:hint="eastAsia"/>
        </w:rPr>
      </w:pPr>
      <w:r>
        <w:rPr>
          <w:rFonts w:hint="eastAsia" w:eastAsia="方正黑体_GBK"/>
        </w:rPr>
        <w:t>第八条</w:t>
      </w:r>
      <w:r>
        <w:rPr>
          <w:rFonts w:hint="eastAsia"/>
        </w:rPr>
        <w:t xml:space="preserve">  从严控制专项资金的设立，确需设立的专项资金应当具备以下条件：</w:t>
      </w:r>
    </w:p>
    <w:p>
      <w:pPr>
        <w:ind w:firstLine="632" w:firstLineChars="200"/>
        <w:rPr>
          <w:rFonts w:hint="eastAsia"/>
        </w:rPr>
      </w:pPr>
      <w:r>
        <w:rPr>
          <w:rFonts w:hint="eastAsia"/>
        </w:rPr>
        <w:t>（一）明确的政策依据。必须符合国家法律法规、市委市政府决策部署、我市国民经济和社会发展中长期规划以及产业政策要求；必须符合公共财政投入方向，重点满足政府提供公共产品和公共服务的需求。</w:t>
      </w:r>
    </w:p>
    <w:p>
      <w:pPr>
        <w:ind w:firstLine="632" w:firstLineChars="200"/>
        <w:rPr>
          <w:rFonts w:hint="eastAsia"/>
        </w:rPr>
      </w:pPr>
      <w:r>
        <w:rPr>
          <w:rFonts w:hint="eastAsia"/>
        </w:rPr>
        <w:t>（二）明确的主管部门。每项专项资金应明确一个归口主管部门，避免多头管理；涉及多个部门的专项资金，应按照资金性质明确牵头部门，建立健全协调管理和信息共享机制。</w:t>
      </w:r>
    </w:p>
    <w:p>
      <w:pPr>
        <w:ind w:firstLine="632" w:firstLineChars="200"/>
        <w:rPr>
          <w:rFonts w:hint="eastAsia"/>
        </w:rPr>
      </w:pPr>
      <w:r>
        <w:rPr>
          <w:rFonts w:hint="eastAsia"/>
        </w:rPr>
        <w:t>（三）明确的执行期限。除法律、法规及国家政策有明确规定外，执行期限一般不超过5年。</w:t>
      </w:r>
    </w:p>
    <w:p>
      <w:pPr>
        <w:ind w:firstLine="632" w:firstLineChars="200"/>
        <w:rPr>
          <w:rFonts w:hint="eastAsia"/>
        </w:rPr>
      </w:pPr>
      <w:r>
        <w:rPr>
          <w:rFonts w:hint="eastAsia"/>
        </w:rPr>
        <w:t>（四）明确的绩效目标。设立重点专项应按照绩效评估相关规定开展事前评估。每项专项资金均应制定预期产出、预期效果、成本资源、服务对象满意度等绩效目标，并符合指向明确、细化量化、合理可行、相应匹配的要求。</w:t>
      </w:r>
    </w:p>
    <w:p>
      <w:pPr>
        <w:ind w:firstLine="632" w:firstLineChars="200"/>
        <w:rPr>
          <w:rFonts w:hint="eastAsia"/>
        </w:rPr>
      </w:pPr>
      <w:r>
        <w:rPr>
          <w:rFonts w:hint="eastAsia"/>
        </w:rPr>
        <w:t>（五）明确的资金来源。坚持财力导向，每项专项资金均应有明确的来源、具体的规模。不得与财政收支增幅、生产总值和支出占比等挂钩。不得重复设立与现有专项资金使用方向或用途相近的专项资金。</w:t>
      </w:r>
    </w:p>
    <w:p>
      <w:pPr>
        <w:ind w:firstLine="632" w:firstLineChars="200"/>
        <w:rPr>
          <w:rFonts w:hint="eastAsia"/>
        </w:rPr>
      </w:pPr>
      <w:r>
        <w:rPr>
          <w:rFonts w:hint="eastAsia" w:eastAsia="方正黑体_GBK"/>
        </w:rPr>
        <w:t>第九条</w:t>
      </w:r>
      <w:r>
        <w:rPr>
          <w:rFonts w:hint="eastAsia"/>
        </w:rPr>
        <w:t xml:space="preserve">  新设专项资金，应由市级主管部门提出申请，经市级财政部门审核后，报市政府常务会议批准；或由市级财政部门直接提出申请，报市政府常务会议批准。年度预算执行中原则上不新设专项资金，确需设立的，应纳入以后年度预算安排。</w:t>
      </w:r>
    </w:p>
    <w:p>
      <w:pPr>
        <w:ind w:firstLine="632" w:firstLineChars="200"/>
        <w:rPr>
          <w:rFonts w:hint="eastAsia"/>
        </w:rPr>
      </w:pPr>
      <w:r>
        <w:rPr>
          <w:rFonts w:hint="eastAsia" w:eastAsia="方正黑体_GBK"/>
        </w:rPr>
        <w:t>第十条</w:t>
      </w:r>
      <w:r>
        <w:rPr>
          <w:rFonts w:hint="eastAsia"/>
        </w:rPr>
        <w:t xml:space="preserve">  市级主管部门申请设立专项资金，应当提供立项依据、事前绩效评估结果、绩效目标、执行条件、经费预算及其他必要的审查资料。市级财政部门应当会同市级主管部门对专项资金设立的必要性、可行性、资金规模和绩效目标组织论证。</w:t>
      </w:r>
    </w:p>
    <w:p>
      <w:pPr>
        <w:ind w:firstLine="632" w:firstLineChars="200"/>
        <w:rPr>
          <w:rFonts w:hint="eastAsia"/>
        </w:rPr>
      </w:pPr>
      <w:r>
        <w:rPr>
          <w:rFonts w:hint="eastAsia" w:eastAsia="方正黑体_GBK"/>
        </w:rPr>
        <w:t>第十一条</w:t>
      </w:r>
      <w:r>
        <w:rPr>
          <w:rFonts w:hint="eastAsia"/>
        </w:rPr>
        <w:t xml:space="preserve">  专项资金经批准设立后3个月内，市级主管部门应当坚持“一项专项资金一套管理办法”的原则，会同市级财政部门制定具体专项资金管理办法。专项资金管理办法应当明确规定政策目标、资金用途、补助对象、分配方法、职责分工、执行期限、绩效管理、监督检查等内容。需要发布申报指南或者其他与资金申报有关文件的，应当在资金管理办法中予以明确。管理办法应适时修订。</w:t>
      </w:r>
    </w:p>
    <w:p>
      <w:pPr>
        <w:ind w:firstLine="632" w:firstLineChars="200"/>
        <w:rPr>
          <w:rFonts w:hint="eastAsia"/>
        </w:rPr>
      </w:pPr>
      <w:r>
        <w:rPr>
          <w:rFonts w:hint="eastAsia" w:eastAsia="方正黑体_GBK"/>
        </w:rPr>
        <w:t>第十二条</w:t>
      </w:r>
      <w:r>
        <w:rPr>
          <w:rFonts w:hint="eastAsia"/>
        </w:rPr>
        <w:t xml:space="preserve">  专项资金执行期满后，不再纳入下一年度预算。确需延续的，应在执行期满前一年按照本办法第八条、第九条、第十条的规定重新申请设立，主管部门在提交申请时应同时提交专项资金存续期整体绩效评价情况。</w:t>
      </w:r>
    </w:p>
    <w:p>
      <w:pPr>
        <w:ind w:firstLine="632" w:firstLineChars="200"/>
        <w:rPr>
          <w:rFonts w:hint="eastAsia"/>
        </w:rPr>
      </w:pPr>
      <w:r>
        <w:rPr>
          <w:rFonts w:hint="eastAsia" w:eastAsia="方正黑体_GBK"/>
        </w:rPr>
        <w:t xml:space="preserve">第十三条 </w:t>
      </w:r>
      <w:r>
        <w:rPr>
          <w:rFonts w:hint="eastAsia"/>
        </w:rPr>
        <w:t xml:space="preserve"> 专项资金在执行期间需要调整使用范围或资金总体规模的，应由市级主管部门提出申请，履行规范报批程序后执行，涉及调整预算的，由市级财政部门统一汇总编报调整预算后报市人大审批。</w:t>
      </w:r>
    </w:p>
    <w:p>
      <w:pPr>
        <w:ind w:firstLine="632" w:firstLineChars="200"/>
        <w:rPr>
          <w:rFonts w:hint="eastAsia"/>
        </w:rPr>
      </w:pPr>
      <w:r>
        <w:rPr>
          <w:rFonts w:hint="eastAsia" w:eastAsia="方正黑体_GBK"/>
        </w:rPr>
        <w:t>第十四条</w:t>
      </w:r>
      <w:r>
        <w:rPr>
          <w:rFonts w:hint="eastAsia"/>
        </w:rPr>
        <w:t xml:space="preserve">  专项资金在执行期内有下列情形之一的，由市级财政部门会同市级主管部门，或者由市级财政部门直接报请市政府撤销该专项资金：</w:t>
      </w:r>
    </w:p>
    <w:p>
      <w:pPr>
        <w:ind w:firstLine="632" w:firstLineChars="200"/>
        <w:rPr>
          <w:rFonts w:hint="eastAsia"/>
        </w:rPr>
      </w:pPr>
      <w:r>
        <w:rPr>
          <w:rFonts w:hint="eastAsia"/>
        </w:rPr>
        <w:t>（一）党中央、国务院决策部署或市委、市政府要求调整，市级主管部门职能职责或财力状况等客观情况发生变化，使专项资金的设立目标、适用范围、资金用途等不再符合现实情况；</w:t>
      </w:r>
    </w:p>
    <w:p>
      <w:pPr>
        <w:ind w:firstLine="632" w:firstLineChars="200"/>
        <w:rPr>
          <w:rFonts w:hint="eastAsia"/>
        </w:rPr>
      </w:pPr>
      <w:r>
        <w:rPr>
          <w:rFonts w:hint="eastAsia"/>
        </w:rPr>
        <w:t>（二）专项资金设立的政策依据已到期，或设立之初确定的特定任务已达成；</w:t>
      </w:r>
    </w:p>
    <w:p>
      <w:pPr>
        <w:ind w:firstLine="632" w:firstLineChars="200"/>
        <w:rPr>
          <w:rFonts w:hint="eastAsia"/>
        </w:rPr>
      </w:pPr>
      <w:r>
        <w:rPr>
          <w:rFonts w:hint="eastAsia"/>
        </w:rPr>
        <w:t>（三）专项资金实施后的绩效评价结果等级为差，专项资金管理、使用存在违法违纪问题，情节严重或经整改无效。</w:t>
      </w:r>
    </w:p>
    <w:p>
      <w:pPr>
        <w:ind w:firstLine="632" w:firstLineChars="200"/>
        <w:rPr>
          <w:rFonts w:hint="eastAsia"/>
        </w:rPr>
      </w:pPr>
      <w:r>
        <w:rPr>
          <w:rFonts w:hint="eastAsia" w:eastAsia="方正黑体_GBK"/>
        </w:rPr>
        <w:t>第十五条</w:t>
      </w:r>
      <w:r>
        <w:rPr>
          <w:rFonts w:hint="eastAsia"/>
        </w:rPr>
        <w:t xml:space="preserve">  市级财政部门和市级主管部门应建立专项资金清理整合机制，对资金规模小、项目分散、用途相近、政策交叉、范围重叠的专项资金进行整合归并。</w:t>
      </w:r>
    </w:p>
    <w:p>
      <w:pPr>
        <w:ind w:firstLine="632" w:firstLineChars="200"/>
        <w:rPr>
          <w:rFonts w:hint="eastAsia"/>
        </w:rPr>
      </w:pPr>
      <w:r>
        <w:rPr>
          <w:rFonts w:hint="eastAsia" w:eastAsia="方正黑体_GBK"/>
        </w:rPr>
        <w:t xml:space="preserve">第十六条 </w:t>
      </w:r>
      <w:r>
        <w:rPr>
          <w:rFonts w:hint="eastAsia"/>
        </w:rPr>
        <w:t xml:space="preserve"> 专项资金实行目录清单管理，由市级财政部门根据专项资金设立、调整、撤销情况对目录清单进行动态管理。</w:t>
      </w:r>
    </w:p>
    <w:p>
      <w:pPr>
        <w:ind w:firstLine="632" w:firstLineChars="200"/>
      </w:pPr>
    </w:p>
    <w:p>
      <w:pPr>
        <w:jc w:val="center"/>
        <w:rPr>
          <w:rFonts w:hint="eastAsia" w:eastAsia="方正黑体_GBK"/>
        </w:rPr>
      </w:pPr>
      <w:r>
        <w:rPr>
          <w:rFonts w:hint="eastAsia" w:eastAsia="方正黑体_GBK"/>
        </w:rPr>
        <w:t>第四章  预算编制、下达和执行</w:t>
      </w:r>
    </w:p>
    <w:p>
      <w:pPr>
        <w:ind w:firstLine="632" w:firstLineChars="200"/>
      </w:pPr>
    </w:p>
    <w:p>
      <w:pPr>
        <w:ind w:firstLine="632" w:firstLineChars="200"/>
        <w:rPr>
          <w:rFonts w:hint="eastAsia"/>
        </w:rPr>
      </w:pPr>
      <w:r>
        <w:rPr>
          <w:rFonts w:hint="eastAsia" w:eastAsia="方正黑体_GBK"/>
        </w:rPr>
        <w:t xml:space="preserve">第十七条 </w:t>
      </w:r>
      <w:r>
        <w:rPr>
          <w:rFonts w:hint="eastAsia"/>
        </w:rPr>
        <w:t xml:space="preserve"> 专项资金预算编制应当围绕全市中心工作，加强统筹、提高效率、突出重点，结合年度财力状况，分项目分级次编制。</w:t>
      </w:r>
    </w:p>
    <w:p>
      <w:pPr>
        <w:ind w:firstLine="632" w:firstLineChars="200"/>
        <w:rPr>
          <w:rFonts w:hint="eastAsia"/>
        </w:rPr>
      </w:pPr>
      <w:r>
        <w:rPr>
          <w:rFonts w:hint="eastAsia" w:eastAsia="方正黑体_GBK"/>
        </w:rPr>
        <w:t>第十八条</w:t>
      </w:r>
      <w:r>
        <w:rPr>
          <w:rFonts w:hint="eastAsia"/>
        </w:rPr>
        <w:t xml:space="preserve">  市级主管部门应结合部门工作规划和年度工作安排建立部门项目库，在专项资金目录范围内，按照轻重缓急原则申报项目。市级财政部门初审后形成财政滚动项目库，经公开评审通过后，按程序报批纳入年初预算。凡未纳入财政项目库的项目不得安排预算。</w:t>
      </w:r>
    </w:p>
    <w:p>
      <w:pPr>
        <w:ind w:firstLine="632" w:firstLineChars="200"/>
        <w:rPr>
          <w:rFonts w:hint="eastAsia"/>
        </w:rPr>
      </w:pPr>
      <w:r>
        <w:rPr>
          <w:rFonts w:hint="eastAsia" w:eastAsia="方正黑体_GBK"/>
        </w:rPr>
        <w:t>第十九条</w:t>
      </w:r>
      <w:r>
        <w:rPr>
          <w:rFonts w:hint="eastAsia"/>
        </w:rPr>
        <w:t xml:space="preserve">  专项资金预算按照市级财政部门规定时间和“二上二下”程序编制。市级主管部门按照专项资金的控制数提出项目资金初步安排建议，按程序报送市级财政部门。市级财政部门根据有关政策规定，结合市级财力，对专项资金支出预算进行初审，提交市级预算公开评审通过后，纳入财政年度收支预算草案，报市政府审议，由市政府提请市人民代表大会批准。</w:t>
      </w:r>
    </w:p>
    <w:p>
      <w:pPr>
        <w:ind w:firstLine="632" w:firstLineChars="200"/>
        <w:rPr>
          <w:rFonts w:hint="eastAsia"/>
        </w:rPr>
      </w:pPr>
      <w:r>
        <w:rPr>
          <w:rFonts w:hint="eastAsia" w:eastAsia="方正黑体_GBK"/>
        </w:rPr>
        <w:t xml:space="preserve">第二十条 </w:t>
      </w:r>
      <w:r>
        <w:rPr>
          <w:rFonts w:hint="eastAsia"/>
        </w:rPr>
        <w:t xml:space="preserve"> 预算编制应区分市本级支出和转移支付支出，转移支付支出执行《市对区县一般性转移支付管理办法》和《市对区县专项转移支付管理办法》规定。跨年度项目预算应与中期规划相衔接，并根据项目进度安排和财力平衡情况，分年度编制。</w:t>
      </w:r>
    </w:p>
    <w:p>
      <w:pPr>
        <w:ind w:firstLine="632" w:firstLineChars="200"/>
        <w:rPr>
          <w:rFonts w:hint="eastAsia"/>
        </w:rPr>
      </w:pPr>
      <w:r>
        <w:rPr>
          <w:rFonts w:hint="eastAsia" w:eastAsia="方正黑体_GBK"/>
        </w:rPr>
        <w:t>第二十一条</w:t>
      </w:r>
      <w:r>
        <w:rPr>
          <w:rFonts w:hint="eastAsia"/>
        </w:rPr>
        <w:t xml:space="preserve">  专项资金应当在年初细化到具体项目和实施单位，已细化到具体项目和实施单位的，应当按规定及时完成预算下达。确因客观条件限制不能在年初细化分配的，市级主管部门应当尽早制定专项资金细化分配方案，履行规范报批程序后及时完成预算下达。对于在当年6月30日前仍未细化落实到具体项目和实施单位的，由市级财政部门收回总预算，统筹安排用于其他急需项目。</w:t>
      </w:r>
    </w:p>
    <w:p>
      <w:pPr>
        <w:ind w:firstLine="632" w:firstLineChars="200"/>
        <w:rPr>
          <w:rFonts w:hint="eastAsia"/>
        </w:rPr>
      </w:pPr>
      <w:r>
        <w:rPr>
          <w:rFonts w:hint="eastAsia" w:eastAsia="方正黑体_GBK"/>
        </w:rPr>
        <w:t xml:space="preserve">第二十二条 </w:t>
      </w:r>
      <w:r>
        <w:rPr>
          <w:rFonts w:hint="eastAsia"/>
        </w:rPr>
        <w:t xml:space="preserve"> 市级主管部门应当在预算下达后根据专项资金支出预算、分配方案、项目进度提交专项资金拨付申请。市级财政部门应严格按照财政国库管理规定拨付专项资金。用款单位应对专项资金实行专账核算，专款专用。</w:t>
      </w:r>
    </w:p>
    <w:p>
      <w:pPr>
        <w:ind w:firstLine="632" w:firstLineChars="200"/>
        <w:rPr>
          <w:rFonts w:hint="eastAsia"/>
        </w:rPr>
      </w:pPr>
      <w:r>
        <w:rPr>
          <w:rFonts w:hint="eastAsia" w:eastAsia="方正黑体_GBK"/>
        </w:rPr>
        <w:t xml:space="preserve">第二十三条 </w:t>
      </w:r>
      <w:r>
        <w:rPr>
          <w:rFonts w:hint="eastAsia"/>
        </w:rPr>
        <w:t xml:space="preserve"> 专项资金项目支出需严格执行年初预算，预算执行中如遇特殊情况确需调整的，市级主管部门应会商市级财政部门后执行。涉及预算调剂的严格按照预算调剂相关规定办理。涉及预算调整的，由市级财政部门统一汇总编报调整预算后报市人大审批。</w:t>
      </w:r>
    </w:p>
    <w:p>
      <w:pPr>
        <w:ind w:firstLine="632" w:firstLineChars="200"/>
        <w:rPr>
          <w:rFonts w:hint="eastAsia"/>
        </w:rPr>
      </w:pPr>
      <w:r>
        <w:rPr>
          <w:rFonts w:hint="eastAsia" w:eastAsia="方正黑体_GBK"/>
        </w:rPr>
        <w:t>第二十四条</w:t>
      </w:r>
      <w:r>
        <w:rPr>
          <w:rFonts w:hint="eastAsia"/>
        </w:rPr>
        <w:t xml:space="preserve">  专项资金不得用于本部门日常公用经费和工资福利支出，不得自行扩大支出范围和开支标准。</w:t>
      </w:r>
    </w:p>
    <w:p>
      <w:pPr>
        <w:ind w:firstLine="632" w:firstLineChars="200"/>
        <w:rPr>
          <w:rFonts w:hint="eastAsia"/>
        </w:rPr>
      </w:pPr>
      <w:r>
        <w:rPr>
          <w:rFonts w:hint="eastAsia" w:eastAsia="方正黑体_GBK"/>
        </w:rPr>
        <w:t>第二十五条</w:t>
      </w:r>
      <w:r>
        <w:rPr>
          <w:rFonts w:hint="eastAsia"/>
        </w:rPr>
        <w:t xml:space="preserve">  由专项资金形成的国有资产，应当及时办理资产入账手续，按照相关规定加强资产管理。</w:t>
      </w:r>
    </w:p>
    <w:p>
      <w:pPr>
        <w:ind w:firstLine="632" w:firstLineChars="200"/>
        <w:rPr>
          <w:rFonts w:hint="eastAsia"/>
        </w:rPr>
      </w:pPr>
      <w:r>
        <w:rPr>
          <w:rFonts w:hint="eastAsia" w:eastAsia="方正黑体_GBK"/>
        </w:rPr>
        <w:t xml:space="preserve">第二十六条 </w:t>
      </w:r>
      <w:r>
        <w:rPr>
          <w:rFonts w:hint="eastAsia"/>
        </w:rPr>
        <w:t xml:space="preserve"> 市级主管部门应当做好专项资金预算执行各项工作，加强支出管理，确保专项资金的支出合规、及时、安全。市级财政部门应当加强对专项资金支出预算执行情况的监督检查，建立支出进度定期通报制度。每年年底未执行完的预算，由市级财政部门按规定实行零结转。</w:t>
      </w:r>
    </w:p>
    <w:p>
      <w:pPr>
        <w:ind w:firstLine="632" w:firstLineChars="200"/>
      </w:pPr>
    </w:p>
    <w:p>
      <w:pPr>
        <w:jc w:val="center"/>
        <w:rPr>
          <w:rFonts w:hint="eastAsia" w:eastAsia="方正黑体_GBK"/>
        </w:rPr>
      </w:pPr>
      <w:r>
        <w:rPr>
          <w:rFonts w:hint="eastAsia" w:eastAsia="方正黑体_GBK"/>
        </w:rPr>
        <w:t>第五章  绩效管理和监督检查</w:t>
      </w:r>
    </w:p>
    <w:p>
      <w:pPr>
        <w:ind w:firstLine="632" w:firstLineChars="200"/>
      </w:pPr>
    </w:p>
    <w:p>
      <w:pPr>
        <w:ind w:firstLine="632" w:firstLineChars="200"/>
        <w:rPr>
          <w:rFonts w:hint="eastAsia"/>
        </w:rPr>
      </w:pPr>
      <w:r>
        <w:rPr>
          <w:rFonts w:hint="eastAsia" w:eastAsia="方正黑体_GBK"/>
        </w:rPr>
        <w:t>第二十七条</w:t>
      </w:r>
      <w:r>
        <w:rPr>
          <w:rFonts w:hint="eastAsia"/>
        </w:rPr>
        <w:t xml:space="preserve">  市级财政部门应会同市级主管部门建立全过程预算绩效管理机制，提高专项资金使用效益。</w:t>
      </w:r>
    </w:p>
    <w:p>
      <w:pPr>
        <w:ind w:firstLine="632" w:firstLineChars="200"/>
        <w:rPr>
          <w:rFonts w:hint="eastAsia"/>
        </w:rPr>
      </w:pPr>
      <w:r>
        <w:rPr>
          <w:rFonts w:hint="eastAsia"/>
        </w:rPr>
        <w:t>（一）在专项资金设立环节，市级主管部门应按要求开展绩效评估，编制专项资金整体绩效目标，并将绩效评估情况和绩效目标随同设立申请一并提交。</w:t>
      </w:r>
    </w:p>
    <w:p>
      <w:pPr>
        <w:ind w:firstLine="632" w:firstLineChars="200"/>
        <w:rPr>
          <w:rFonts w:hint="eastAsia"/>
        </w:rPr>
      </w:pPr>
      <w:r>
        <w:rPr>
          <w:rFonts w:hint="eastAsia"/>
        </w:rPr>
        <w:t>（二）在专项资金预算编制环节，市级主管部门编制专项资金年度绩效目标，市级财政部门对绩效目标进行审核并下达。</w:t>
      </w:r>
    </w:p>
    <w:p>
      <w:pPr>
        <w:ind w:firstLine="632" w:firstLineChars="200"/>
        <w:rPr>
          <w:rFonts w:hint="eastAsia"/>
        </w:rPr>
      </w:pPr>
      <w:r>
        <w:rPr>
          <w:rFonts w:hint="eastAsia"/>
        </w:rPr>
        <w:t>（三）在专项资金执行过程中，市级主管部门和市级财政部门对绩效目标实现情况进行动态监管，对偏离绩效目标的专项资金项目应当及时采取措施予以纠正；情况严重的，市级财政部门可以调整、暂缓或停止该项目执行。</w:t>
      </w:r>
    </w:p>
    <w:p>
      <w:pPr>
        <w:ind w:firstLine="632" w:firstLineChars="200"/>
        <w:rPr>
          <w:rFonts w:hint="eastAsia"/>
        </w:rPr>
      </w:pPr>
      <w:r>
        <w:rPr>
          <w:rFonts w:hint="eastAsia"/>
        </w:rPr>
        <w:t>（四）专项资金年度预算执行完毕或执行期满后，市级主管部门对专项资金进行绩效自评，市级财政部门开展重点评价，并向市人大、市政府报告绩效评价结果。</w:t>
      </w:r>
    </w:p>
    <w:p>
      <w:pPr>
        <w:ind w:firstLine="632" w:firstLineChars="200"/>
        <w:rPr>
          <w:rFonts w:hint="eastAsia"/>
        </w:rPr>
      </w:pPr>
      <w:r>
        <w:rPr>
          <w:rFonts w:hint="eastAsia"/>
        </w:rPr>
        <w:t>（五）在专项资金绩效评价结束后，市级财政部门将评价结果作为调整或撤销专项资金、编制以后年度部门预算、分配转移支付资金以及实施行政问责的重要依据。</w:t>
      </w:r>
    </w:p>
    <w:p>
      <w:pPr>
        <w:ind w:firstLine="632" w:firstLineChars="200"/>
        <w:rPr>
          <w:rFonts w:hint="eastAsia"/>
        </w:rPr>
      </w:pPr>
      <w:r>
        <w:rPr>
          <w:rFonts w:hint="eastAsia" w:eastAsia="方正黑体_GBK"/>
        </w:rPr>
        <w:t>第二十八条</w:t>
      </w:r>
      <w:r>
        <w:rPr>
          <w:rFonts w:hint="eastAsia"/>
        </w:rPr>
        <w:t xml:space="preserve">  市级财政部门、审计部门、主管部门按照各自职责权限，依法对专项资金使用、管理进行监督检查。</w:t>
      </w:r>
    </w:p>
    <w:p>
      <w:pPr>
        <w:ind w:firstLine="632" w:firstLineChars="200"/>
        <w:rPr>
          <w:rFonts w:hint="eastAsia"/>
        </w:rPr>
      </w:pPr>
      <w:r>
        <w:rPr>
          <w:rFonts w:hint="eastAsia"/>
        </w:rPr>
        <w:t>（一）市级财政部门对专项资金预算编制、执行以及资金拨付、使用进行常态化监督检查。监督检查结果作为预算安排的重要依据。</w:t>
      </w:r>
    </w:p>
    <w:p>
      <w:pPr>
        <w:ind w:firstLine="632" w:firstLineChars="200"/>
        <w:rPr>
          <w:rFonts w:hint="eastAsia"/>
        </w:rPr>
      </w:pPr>
      <w:r>
        <w:rPr>
          <w:rFonts w:hint="eastAsia"/>
        </w:rPr>
        <w:t>（二）市级主管部门对专项资金项目实施和资金使用进行全过程监督，建立健全内部财务管理及内控制度，开展日常监督检查，定期向市级财政部门通报项目实施进度和资金使用情况。</w:t>
      </w:r>
    </w:p>
    <w:p>
      <w:pPr>
        <w:ind w:firstLine="632" w:firstLineChars="200"/>
        <w:rPr>
          <w:rFonts w:hint="eastAsia"/>
        </w:rPr>
      </w:pPr>
      <w:r>
        <w:rPr>
          <w:rFonts w:hint="eastAsia"/>
        </w:rPr>
        <w:t>（三）市级审计部门对专项资金分配使用、财务管理、预算执行和资金效益进行审计，对发现的问题提出整改要求。</w:t>
      </w:r>
    </w:p>
    <w:p>
      <w:pPr>
        <w:ind w:firstLine="632" w:firstLineChars="200"/>
        <w:rPr>
          <w:rFonts w:hint="eastAsia"/>
        </w:rPr>
      </w:pPr>
      <w:r>
        <w:rPr>
          <w:rFonts w:hint="eastAsia"/>
        </w:rPr>
        <w:t>（四）各类监督检查结果作为调整预算或预算安排的重要依据。</w:t>
      </w:r>
    </w:p>
    <w:p>
      <w:pPr>
        <w:ind w:firstLine="632" w:firstLineChars="200"/>
        <w:rPr>
          <w:rFonts w:hint="eastAsia"/>
        </w:rPr>
      </w:pPr>
      <w:r>
        <w:rPr>
          <w:rFonts w:hint="eastAsia" w:eastAsia="方正黑体_GBK"/>
        </w:rPr>
        <w:t>第二十九条</w:t>
      </w:r>
      <w:r>
        <w:rPr>
          <w:rFonts w:hint="eastAsia"/>
        </w:rPr>
        <w:t xml:space="preserve">  市级主管部门对其归口管理的专项资金信息进行公开。在部门预决算信息公开中，逐步公开专项资金分配结果，以及管理办法、申报指南、申报情况、绩效目标、绩效评价等信息。</w:t>
      </w:r>
    </w:p>
    <w:p>
      <w:pPr>
        <w:ind w:firstLine="632" w:firstLineChars="200"/>
        <w:rPr>
          <w:rFonts w:hint="eastAsia"/>
        </w:rPr>
      </w:pPr>
      <w:r>
        <w:rPr>
          <w:rFonts w:hint="eastAsia" w:eastAsia="方正黑体_GBK"/>
        </w:rPr>
        <w:t>第三十条</w:t>
      </w:r>
      <w:r>
        <w:rPr>
          <w:rFonts w:hint="eastAsia"/>
        </w:rPr>
        <w:t xml:space="preserve">  市级主管部门、财政部门和资金使用单位应严格执行财经法律法规、财务规章制度、会计核算办法，不得虚报冒领、挤占、截留和挪用专项资金。</w:t>
      </w:r>
    </w:p>
    <w:p>
      <w:pPr>
        <w:ind w:firstLine="632" w:firstLineChars="200"/>
      </w:pPr>
    </w:p>
    <w:p>
      <w:pPr>
        <w:jc w:val="center"/>
        <w:rPr>
          <w:rFonts w:hint="eastAsia" w:eastAsia="方正黑体_GBK"/>
        </w:rPr>
      </w:pPr>
      <w:r>
        <w:rPr>
          <w:rFonts w:hint="eastAsia" w:eastAsia="方正黑体_GBK"/>
        </w:rPr>
        <w:t>第六章  责任追究</w:t>
      </w:r>
    </w:p>
    <w:p>
      <w:pPr>
        <w:ind w:firstLine="632" w:firstLineChars="200"/>
      </w:pPr>
    </w:p>
    <w:p>
      <w:pPr>
        <w:ind w:firstLine="616" w:firstLineChars="200"/>
        <w:rPr>
          <w:rFonts w:hint="eastAsia"/>
          <w:spacing w:val="-4"/>
        </w:rPr>
      </w:pPr>
      <w:r>
        <w:rPr>
          <w:rFonts w:hint="eastAsia" w:eastAsia="方正黑体_GBK"/>
          <w:spacing w:val="-4"/>
        </w:rPr>
        <w:t>第三十一条</w:t>
      </w:r>
      <w:r>
        <w:rPr>
          <w:rFonts w:hint="eastAsia"/>
          <w:spacing w:val="-4"/>
        </w:rPr>
        <w:t xml:space="preserve">  对负责专项资金管理的部门、单位及其负责人、经办人员，中介机构、评审专家等有关组织和个人，在专项资金分配、审批、拨付、管理中存在违法违纪行为的，按照“谁审批、谁负责”的原则，依照相关法律法规处理、处罚及处分。具体使用专项资金的单位、组织或个人存在骗取、截留、挪用等行为的，由市级财政部门或主管部门追回专项资金，并视情节移送纪检监察机关给予党纪政纪处分。涉嫌犯罪的，移送司法机关追究刑事责任。</w:t>
      </w:r>
    </w:p>
    <w:p>
      <w:pPr>
        <w:ind w:firstLine="632" w:firstLineChars="200"/>
      </w:pPr>
    </w:p>
    <w:p>
      <w:pPr>
        <w:jc w:val="center"/>
        <w:rPr>
          <w:rFonts w:hint="eastAsia" w:eastAsia="方正黑体_GBK"/>
        </w:rPr>
      </w:pPr>
      <w:r>
        <w:rPr>
          <w:rFonts w:hint="eastAsia" w:eastAsia="方正黑体_GBK"/>
        </w:rPr>
        <w:t>第七章  附    则</w:t>
      </w:r>
    </w:p>
    <w:p>
      <w:pPr>
        <w:ind w:firstLine="632" w:firstLineChars="200"/>
      </w:pPr>
    </w:p>
    <w:p>
      <w:pPr>
        <w:ind w:firstLine="632" w:firstLineChars="200"/>
        <w:rPr>
          <w:rFonts w:hint="eastAsia"/>
        </w:rPr>
      </w:pPr>
      <w:r>
        <w:rPr>
          <w:rFonts w:hint="eastAsia" w:eastAsia="方正黑体_GBK"/>
        </w:rPr>
        <w:t>第三十二条</w:t>
      </w:r>
      <w:r>
        <w:rPr>
          <w:rFonts w:hint="eastAsia"/>
        </w:rPr>
        <w:t xml:space="preserve">  市级主管部门应会同市级财政部门，根据本办法制定或修订现有专项资金的具体管理办法。市级财政部门应牵头完善项目库管理体系及信息化平台。</w:t>
      </w:r>
    </w:p>
    <w:p>
      <w:pPr>
        <w:ind w:firstLine="632" w:firstLineChars="200"/>
        <w:rPr>
          <w:rFonts w:hint="eastAsia"/>
        </w:rPr>
      </w:pPr>
      <w:r>
        <w:rPr>
          <w:rFonts w:hint="eastAsia" w:eastAsia="方正黑体_GBK"/>
        </w:rPr>
        <w:t>第三十三条</w:t>
      </w:r>
      <w:r>
        <w:rPr>
          <w:rFonts w:hint="eastAsia"/>
        </w:rPr>
        <w:t xml:space="preserve">  各区县政府可根据本办法，结合本区县实际，制定本区县专项资金管理办法。</w:t>
      </w:r>
    </w:p>
    <w:p>
      <w:pPr>
        <w:ind w:firstLine="632" w:firstLineChars="200"/>
      </w:pPr>
      <w:r>
        <w:rPr>
          <w:rFonts w:hint="eastAsia" w:eastAsia="方正黑体_GBK"/>
        </w:rPr>
        <w:t xml:space="preserve">第三十四条 </w:t>
      </w:r>
      <w:r>
        <w:rPr>
          <w:rFonts w:hint="eastAsia"/>
        </w:rPr>
        <w:t xml:space="preserve"> 本办法自印发之日起施行。</w:t>
      </w:r>
    </w:p>
    <w:p>
      <w:pPr>
        <w:ind w:firstLine="632" w:firstLineChars="200"/>
      </w:pPr>
      <w:r>
        <w:br w:type="page"/>
      </w:r>
    </w:p>
    <w:p>
      <w:pPr>
        <w:ind w:firstLine="632" w:firstLineChars="200"/>
      </w:pPr>
    </w:p>
    <w:p>
      <w:pPr>
        <w:spacing w:line="590" w:lineRule="exact"/>
        <w:jc w:val="center"/>
        <w:rPr>
          <w:rFonts w:hint="eastAsia" w:eastAsia="方正小标宋_GBK"/>
          <w:sz w:val="44"/>
          <w:szCs w:val="44"/>
        </w:rPr>
      </w:pPr>
      <w:r>
        <w:rPr>
          <w:rFonts w:hint="eastAsia" w:eastAsia="方正小标宋_GBK"/>
          <w:sz w:val="44"/>
          <w:szCs w:val="44"/>
        </w:rPr>
        <w:t>重庆市市级预算公开评审办法</w:t>
      </w:r>
    </w:p>
    <w:p>
      <w:pPr>
        <w:ind w:firstLine="632" w:firstLineChars="200"/>
      </w:pPr>
    </w:p>
    <w:p>
      <w:pPr>
        <w:ind w:firstLine="632" w:firstLineChars="200"/>
        <w:rPr>
          <w:rFonts w:hint="eastAsia"/>
        </w:rPr>
      </w:pPr>
      <w:r>
        <w:rPr>
          <w:rFonts w:hint="eastAsia" w:eastAsia="方正黑体_GBK"/>
        </w:rPr>
        <w:t xml:space="preserve">第一条 </w:t>
      </w:r>
      <w:r>
        <w:rPr>
          <w:rFonts w:hint="eastAsia"/>
        </w:rPr>
        <w:t xml:space="preserve"> 为规范预算单位收支行为，强化预算约束，根据《中华人民共和国预算法》《中华人民共和国预算法实施条例》《重庆市预算审查监督条例》，制定本办法。</w:t>
      </w:r>
    </w:p>
    <w:p>
      <w:pPr>
        <w:ind w:firstLine="632" w:firstLineChars="200"/>
        <w:rPr>
          <w:rFonts w:hint="eastAsia"/>
        </w:rPr>
      </w:pPr>
      <w:r>
        <w:rPr>
          <w:rFonts w:hint="eastAsia" w:eastAsia="方正黑体_GBK"/>
        </w:rPr>
        <w:t>第二条</w:t>
      </w:r>
      <w:r>
        <w:rPr>
          <w:rFonts w:hint="eastAsia"/>
        </w:rPr>
        <w:t xml:space="preserve">  本办法所称预算公开评审，是指在预算编制过程中，采取成立评审组联合评审方式，对预算单位申报的项目支出预算进行评审论证，提出评审意见和建议的预算管理活动。</w:t>
      </w:r>
    </w:p>
    <w:p>
      <w:pPr>
        <w:ind w:firstLine="632" w:firstLineChars="200"/>
        <w:rPr>
          <w:rFonts w:hint="eastAsia"/>
        </w:rPr>
      </w:pPr>
      <w:r>
        <w:rPr>
          <w:rFonts w:hint="eastAsia" w:eastAsia="方正黑体_GBK"/>
        </w:rPr>
        <w:t>第三条</w:t>
      </w:r>
      <w:r>
        <w:rPr>
          <w:rFonts w:hint="eastAsia"/>
        </w:rPr>
        <w:t xml:space="preserve">  评审组由市人大常委会专门机构、市审计局等监督部门、市级财政部门等专业部门组成，同时，邀请市人大代表、市政协委员、相关专家参与。</w:t>
      </w:r>
    </w:p>
    <w:p>
      <w:pPr>
        <w:ind w:firstLine="632" w:firstLineChars="200"/>
        <w:rPr>
          <w:rFonts w:hint="eastAsia"/>
        </w:rPr>
      </w:pPr>
      <w:r>
        <w:rPr>
          <w:rFonts w:hint="eastAsia" w:eastAsia="方正黑体_GBK"/>
        </w:rPr>
        <w:t>第四条</w:t>
      </w:r>
      <w:r>
        <w:rPr>
          <w:rFonts w:hint="eastAsia"/>
        </w:rPr>
        <w:t xml:space="preserve">  预算公开评审时间为部门预算“一上”后，“一下”下达前。由市级财政部门负责组织，并根据每年部门预算编制工作安排，制定具体实施方案。预算单位负责提供评审资料，配合评审工作开展。</w:t>
      </w:r>
    </w:p>
    <w:p>
      <w:pPr>
        <w:ind w:firstLine="632" w:firstLineChars="200"/>
        <w:rPr>
          <w:rFonts w:hint="eastAsia"/>
        </w:rPr>
      </w:pPr>
      <w:r>
        <w:rPr>
          <w:rFonts w:hint="eastAsia" w:eastAsia="方正黑体_GBK"/>
        </w:rPr>
        <w:t>第五条</w:t>
      </w:r>
      <w:r>
        <w:rPr>
          <w:rFonts w:hint="eastAsia"/>
        </w:rPr>
        <w:t xml:space="preserve">  预算公开评审应坚持 “全面规范、分类处置”“公开透明、联合评审”“财力导向、零基预算”的原则。评审过程接受纪检监察机关监督。</w:t>
      </w:r>
    </w:p>
    <w:p>
      <w:pPr>
        <w:ind w:firstLine="632" w:firstLineChars="200"/>
        <w:rPr>
          <w:rFonts w:hint="eastAsia"/>
        </w:rPr>
      </w:pPr>
      <w:r>
        <w:rPr>
          <w:rFonts w:hint="eastAsia" w:eastAsia="方正黑体_GBK"/>
        </w:rPr>
        <w:t>第六条</w:t>
      </w:r>
      <w:r>
        <w:rPr>
          <w:rFonts w:hint="eastAsia"/>
        </w:rPr>
        <w:t xml:space="preserve">  预算公开评审范围包括所有市级财力安排的项目支出，分为市本级支出和对区县的转移性支出。</w:t>
      </w:r>
    </w:p>
    <w:p>
      <w:pPr>
        <w:ind w:firstLine="632" w:firstLineChars="200"/>
        <w:rPr>
          <w:rFonts w:hint="eastAsia"/>
        </w:rPr>
      </w:pPr>
      <w:r>
        <w:rPr>
          <w:rFonts w:hint="eastAsia" w:eastAsia="方正黑体_GBK"/>
        </w:rPr>
        <w:t>第七条</w:t>
      </w:r>
      <w:r>
        <w:rPr>
          <w:rFonts w:hint="eastAsia"/>
        </w:rPr>
        <w:t xml:space="preserve">  预算公开评审的内容包括预算单位申报项目支出的立项依据、绩效目标、执行条件、经费预算及其他必要的相关因素等。</w:t>
      </w:r>
    </w:p>
    <w:p>
      <w:pPr>
        <w:ind w:firstLine="632" w:firstLineChars="200"/>
        <w:rPr>
          <w:rFonts w:hint="eastAsia"/>
        </w:rPr>
      </w:pPr>
      <w:r>
        <w:rPr>
          <w:rFonts w:hint="eastAsia"/>
        </w:rPr>
        <w:t>（一）项目立项依据。包括项目支出是否属于部门支出责任，是否符合法律法规规定，是否符合经济社会发展规划和经济政策要求等。</w:t>
      </w:r>
    </w:p>
    <w:p>
      <w:pPr>
        <w:ind w:firstLine="632" w:firstLineChars="200"/>
        <w:rPr>
          <w:rFonts w:hint="eastAsia"/>
        </w:rPr>
      </w:pPr>
      <w:r>
        <w:rPr>
          <w:rFonts w:hint="eastAsia"/>
        </w:rPr>
        <w:t>（二）项目绩效目标。包括部门设定的绩效目标和绩效指标是否规范，是否与预算支出内容、范围、方向等紧密相关，是否与资金规模相匹配，是否合理可行。</w:t>
      </w:r>
    </w:p>
    <w:p>
      <w:pPr>
        <w:ind w:firstLine="632" w:firstLineChars="200"/>
        <w:rPr>
          <w:rFonts w:hint="eastAsia"/>
        </w:rPr>
      </w:pPr>
      <w:r>
        <w:rPr>
          <w:rFonts w:hint="eastAsia"/>
        </w:rPr>
        <w:t>（三）项目执行条件。包括部门对现有项目的实施条件和前期准备工作是否充分，考虑政策等客观因素影响是否充分，是否全面分析制约项目目标实现的技术、市场风险因素等。</w:t>
      </w:r>
    </w:p>
    <w:p>
      <w:pPr>
        <w:ind w:firstLine="632" w:firstLineChars="200"/>
        <w:rPr>
          <w:rFonts w:hint="eastAsia"/>
        </w:rPr>
      </w:pPr>
      <w:r>
        <w:rPr>
          <w:rFonts w:hint="eastAsia"/>
        </w:rPr>
        <w:t>（四）项目经费预算。包括明确预算支出方式、支撑项目支出预算数额的工作量（实物数量）、支出标准、支出数额（总规模、分年度预算）、预算来源（一般公共预算、政府性基金预算、国有资本经营预算等）是否恰当，功能科目、经济科目列报是否合理，划分常年性或阶段性（一次性）项目管理是否属实。</w:t>
      </w:r>
    </w:p>
    <w:p>
      <w:pPr>
        <w:ind w:firstLine="632" w:firstLineChars="200"/>
        <w:rPr>
          <w:rFonts w:hint="eastAsia"/>
        </w:rPr>
      </w:pPr>
      <w:r>
        <w:rPr>
          <w:rFonts w:hint="eastAsia"/>
        </w:rPr>
        <w:t>（五）政府采购和政府购买服务预算。包括项目中需要实施政府采购和政府购买服务的预算，是否按照政府采购目录和政府购买服务目录的具体项目编制采购预算。</w:t>
      </w:r>
    </w:p>
    <w:p>
      <w:pPr>
        <w:ind w:firstLine="632" w:firstLineChars="200"/>
        <w:rPr>
          <w:rFonts w:hint="eastAsia"/>
        </w:rPr>
      </w:pPr>
      <w:r>
        <w:rPr>
          <w:rFonts w:hint="eastAsia"/>
        </w:rPr>
        <w:t>（六）其他必要的相关因素。各行业各领域实施项目需要关注的重点条件。</w:t>
      </w:r>
    </w:p>
    <w:p>
      <w:pPr>
        <w:ind w:firstLine="616" w:firstLineChars="200"/>
        <w:rPr>
          <w:rFonts w:hint="eastAsia"/>
          <w:spacing w:val="-4"/>
        </w:rPr>
      </w:pPr>
      <w:r>
        <w:rPr>
          <w:rFonts w:hint="eastAsia" w:eastAsia="方正黑体_GBK"/>
          <w:spacing w:val="-4"/>
        </w:rPr>
        <w:t xml:space="preserve">第八条 </w:t>
      </w:r>
      <w:r>
        <w:rPr>
          <w:rFonts w:hint="eastAsia"/>
          <w:spacing w:val="-4"/>
        </w:rPr>
        <w:t xml:space="preserve"> 预算评审程序根据项目支出政策类型、支出方向的不同，分为一般性和重点专项两类，分别实施汇总评审和专项评审。</w:t>
      </w:r>
    </w:p>
    <w:p>
      <w:pPr>
        <w:ind w:firstLine="632" w:firstLineChars="200"/>
        <w:rPr>
          <w:rFonts w:hint="eastAsia"/>
        </w:rPr>
      </w:pPr>
      <w:r>
        <w:rPr>
          <w:rFonts w:hint="eastAsia" w:eastAsia="方正黑体_GBK"/>
        </w:rPr>
        <w:t>第九条</w:t>
      </w:r>
      <w:r>
        <w:rPr>
          <w:rFonts w:hint="eastAsia"/>
        </w:rPr>
        <w:t xml:space="preserve">  一般性项目实施汇总评审。一般性项目，特指具有预算单位行业特点，需要安排用于保障行政事业单位开展相关工作需要的项目。</w:t>
      </w:r>
    </w:p>
    <w:p>
      <w:pPr>
        <w:ind w:firstLine="632" w:firstLineChars="200"/>
        <w:rPr>
          <w:rFonts w:hint="eastAsia"/>
        </w:rPr>
      </w:pPr>
      <w:r>
        <w:rPr>
          <w:rFonts w:hint="eastAsia"/>
        </w:rPr>
        <w:t>（一）财政初审。市级财政部门根据预算单位项目支出“一上”申报数据，重点审核项目测算依据、工作成本控制、实施期限等内容。</w:t>
      </w:r>
    </w:p>
    <w:p>
      <w:pPr>
        <w:ind w:firstLine="632" w:firstLineChars="200"/>
        <w:rPr>
          <w:rFonts w:hint="eastAsia"/>
        </w:rPr>
      </w:pPr>
      <w:r>
        <w:rPr>
          <w:rFonts w:hint="eastAsia"/>
        </w:rPr>
        <w:t>（二）汇总评审。市级财政部门汇总一般性项目初审意见后，送达评审组各成员分别独立提出评审意见。评审成员对预算单位人均支出远高于平均水平、预算规模较大、项目数量较多的部门进行重点审议。最终评议结果按照“少数服从多数”原则达成评审结论。</w:t>
      </w:r>
    </w:p>
    <w:p>
      <w:pPr>
        <w:ind w:firstLine="632" w:firstLineChars="200"/>
        <w:rPr>
          <w:rFonts w:hint="eastAsia"/>
        </w:rPr>
      </w:pPr>
      <w:r>
        <w:rPr>
          <w:rFonts w:hint="eastAsia" w:eastAsia="方正黑体_GBK"/>
        </w:rPr>
        <w:t xml:space="preserve">第十条 </w:t>
      </w:r>
      <w:r>
        <w:rPr>
          <w:rFonts w:hint="eastAsia"/>
        </w:rPr>
        <w:t xml:space="preserve"> 重点专项类项目实施专项评审。重点专项类项目，特指按照党中央、国务院决策部署和市委、市政府工作安排，由主管部门组织实施，落实到特定事项、特定对象的，非行政成本类的项目。</w:t>
      </w:r>
    </w:p>
    <w:p>
      <w:pPr>
        <w:ind w:firstLine="632" w:firstLineChars="200"/>
        <w:rPr>
          <w:rFonts w:hint="eastAsia"/>
        </w:rPr>
      </w:pPr>
      <w:r>
        <w:rPr>
          <w:rFonts w:hint="eastAsia"/>
        </w:rPr>
        <w:t>（一）财政初审。市级财政部门对预算单位申报的重点专项类项目的基本情况进行初审，重点审核项目支出预算的立项依据、绩效目标、执行条件、经费预算等要素是否编报完整，是否符合现有支出保障政策。市级财政部门初审完成后将初审意见提交评审组，进入评审组集中评审程序。</w:t>
      </w:r>
    </w:p>
    <w:p>
      <w:pPr>
        <w:ind w:firstLine="632" w:firstLineChars="200"/>
        <w:rPr>
          <w:rFonts w:hint="eastAsia"/>
        </w:rPr>
      </w:pPr>
      <w:r>
        <w:rPr>
          <w:rFonts w:hint="eastAsia"/>
        </w:rPr>
        <w:t>（二）项目陈述。相关负责人向评审组陈述项目基本情况，重点对项目的立项依据、绩效目标、执行条件、经费预算等进行详细说明。</w:t>
      </w:r>
    </w:p>
    <w:p>
      <w:pPr>
        <w:ind w:firstLine="632" w:firstLineChars="200"/>
        <w:rPr>
          <w:rFonts w:hint="eastAsia"/>
        </w:rPr>
      </w:pPr>
      <w:r>
        <w:rPr>
          <w:rFonts w:hint="eastAsia"/>
        </w:rPr>
        <w:t>（三）评审组询问。评审组就项目预算申报、审核情况及其他需了解的情况进行询问，相关负责人进行现场解答。</w:t>
      </w:r>
    </w:p>
    <w:p>
      <w:pPr>
        <w:ind w:firstLine="632" w:firstLineChars="200"/>
        <w:rPr>
          <w:rFonts w:hint="eastAsia"/>
        </w:rPr>
      </w:pPr>
      <w:r>
        <w:rPr>
          <w:rFonts w:hint="eastAsia"/>
        </w:rPr>
        <w:t>（四）提出评审意见。评审组依据项目陈述意见和市级财政部门初审意见，独立提出评审意见；评审组集中讨论合议，按照“少数服从多数”原则，达成评审结论。</w:t>
      </w:r>
    </w:p>
    <w:p>
      <w:pPr>
        <w:ind w:firstLine="632" w:firstLineChars="200"/>
        <w:rPr>
          <w:rFonts w:hint="eastAsia"/>
        </w:rPr>
      </w:pPr>
      <w:r>
        <w:rPr>
          <w:rFonts w:hint="eastAsia" w:eastAsia="方正黑体_GBK"/>
        </w:rPr>
        <w:t xml:space="preserve">第十一条 </w:t>
      </w:r>
      <w:r>
        <w:rPr>
          <w:rFonts w:hint="eastAsia"/>
        </w:rPr>
        <w:t xml:space="preserve"> 评审组按照项目实施年限分常年性、阶段性（一次性）类别提出评审结论。预算单位常年性项目确定后，以后3年不作重复评议。阶段性项目确定后，以后每年仅评审当年预算额度，不再评审项目其他情况。</w:t>
      </w:r>
    </w:p>
    <w:p>
      <w:pPr>
        <w:ind w:firstLine="632" w:firstLineChars="200"/>
        <w:rPr>
          <w:rFonts w:hint="eastAsia"/>
        </w:rPr>
      </w:pPr>
      <w:r>
        <w:rPr>
          <w:rFonts w:hint="eastAsia" w:eastAsia="方正黑体_GBK"/>
        </w:rPr>
        <w:t>第十二条</w:t>
      </w:r>
      <w:r>
        <w:rPr>
          <w:rFonts w:hint="eastAsia"/>
        </w:rPr>
        <w:t xml:space="preserve">  预算评审结论应用。评审结论分为“通过”“调整”“再评议”“未通过”4类。评审组将评议结果反馈至市级财政部门，作为预算安排依据，同时反馈至各预算单位。</w:t>
      </w:r>
    </w:p>
    <w:p>
      <w:pPr>
        <w:ind w:firstLine="632" w:firstLineChars="200"/>
        <w:rPr>
          <w:rFonts w:hint="eastAsia"/>
        </w:rPr>
      </w:pPr>
      <w:r>
        <w:rPr>
          <w:rFonts w:hint="eastAsia"/>
        </w:rPr>
        <w:t>（一）“通过”类项目。市级财政部门直接纳入“一下”预算范围并告知预算单位。</w:t>
      </w:r>
    </w:p>
    <w:p>
      <w:pPr>
        <w:ind w:firstLine="632" w:firstLineChars="200"/>
        <w:rPr>
          <w:rFonts w:hint="eastAsia"/>
        </w:rPr>
      </w:pPr>
      <w:r>
        <w:rPr>
          <w:rFonts w:hint="eastAsia"/>
        </w:rPr>
        <w:t>（二）“调整”类项目。预算单位按照评审意见修正完善后，重新报送市级财政部门审核通过后纳入“一下”预算范围。</w:t>
      </w:r>
    </w:p>
    <w:p>
      <w:pPr>
        <w:ind w:firstLine="632" w:firstLineChars="200"/>
        <w:rPr>
          <w:rFonts w:hint="eastAsia"/>
        </w:rPr>
      </w:pPr>
      <w:r>
        <w:rPr>
          <w:rFonts w:hint="eastAsia"/>
        </w:rPr>
        <w:t>（三）“再评议”类项目。预算单位应根据评审意见重新编报支出项目，按照“汇总评审”或“专项评审”程序重新送审，评审组重新审议时，单位主要负责人或财务分管负责人应当作当面说明。评审通过后财政纳入“一下”预算范围，未通过不再纳入“一下”预算范围。</w:t>
      </w:r>
    </w:p>
    <w:p>
      <w:pPr>
        <w:ind w:firstLine="632" w:firstLineChars="200"/>
        <w:rPr>
          <w:rFonts w:hint="eastAsia"/>
        </w:rPr>
      </w:pPr>
      <w:r>
        <w:rPr>
          <w:rFonts w:hint="eastAsia"/>
        </w:rPr>
        <w:t>（四）“未通过”类项目。市级财政部门不纳入“一下”预算范围。</w:t>
      </w:r>
    </w:p>
    <w:p>
      <w:pPr>
        <w:ind w:firstLine="616" w:firstLineChars="200"/>
        <w:rPr>
          <w:rFonts w:hint="eastAsia"/>
          <w:spacing w:val="-4"/>
        </w:rPr>
      </w:pPr>
      <w:r>
        <w:rPr>
          <w:rFonts w:hint="eastAsia" w:eastAsia="方正黑体_GBK"/>
          <w:spacing w:val="-4"/>
        </w:rPr>
        <w:t>第十三条</w:t>
      </w:r>
      <w:r>
        <w:rPr>
          <w:rFonts w:hint="eastAsia"/>
          <w:spacing w:val="-4"/>
        </w:rPr>
        <w:t xml:space="preserve">  预算单位申报项目中属于已由市级发展改革部门立项的重点建设、重大投资项目，以市级发展改革部门审批意见为依据，不再重复审核立项依据、绩效目标等基本情况，重点审核预算金额。</w:t>
      </w:r>
    </w:p>
    <w:p>
      <w:pPr>
        <w:ind w:firstLine="632" w:firstLineChars="200"/>
        <w:rPr>
          <w:rFonts w:hint="eastAsia"/>
        </w:rPr>
      </w:pPr>
      <w:r>
        <w:rPr>
          <w:rFonts w:hint="eastAsia" w:eastAsia="方正黑体_GBK"/>
        </w:rPr>
        <w:t>第十四条</w:t>
      </w:r>
      <w:r>
        <w:rPr>
          <w:rFonts w:hint="eastAsia"/>
        </w:rPr>
        <w:t xml:space="preserve">  评审组相关人员应当独立开展评审工作。报审项目与评审组成员有利害关系或者有其他关系可能影响公正评审的，评审人员应当回避。对评审过程中获取的评审资料，评审组成员应妥善保管，不得向他人提供。评审内容、评议结果在未经审定之前，所有涉及人员应严格保密，不得对外谈论或泄露。涉密项目根据保密工作要求严格管理。</w:t>
      </w:r>
    </w:p>
    <w:p>
      <w:pPr>
        <w:ind w:firstLine="632" w:firstLineChars="200"/>
        <w:rPr>
          <w:rFonts w:hint="eastAsia"/>
        </w:rPr>
      </w:pPr>
      <w:r>
        <w:rPr>
          <w:rFonts w:hint="eastAsia" w:eastAsia="方正黑体_GBK"/>
        </w:rPr>
        <w:t>第十五条</w:t>
      </w:r>
      <w:r>
        <w:rPr>
          <w:rFonts w:hint="eastAsia"/>
        </w:rPr>
        <w:t xml:space="preserve">  市级财政部门根据本办法制定实施方案。</w:t>
      </w:r>
    </w:p>
    <w:p>
      <w:pPr>
        <w:ind w:firstLine="632" w:firstLineChars="200"/>
        <w:rPr>
          <w:rFonts w:hint="eastAsia"/>
        </w:rPr>
      </w:pPr>
      <w:r>
        <w:rPr>
          <w:rFonts w:hint="eastAsia" w:eastAsia="方正黑体_GBK"/>
        </w:rPr>
        <w:t xml:space="preserve">第十六条 </w:t>
      </w:r>
      <w:r>
        <w:rPr>
          <w:rFonts w:hint="eastAsia"/>
        </w:rPr>
        <w:t xml:space="preserve"> 各区县政府可参照本办法执行。</w:t>
      </w:r>
    </w:p>
    <w:p>
      <w:pPr>
        <w:ind w:firstLine="632" w:firstLineChars="200"/>
        <w:rPr>
          <w:rFonts w:hint="eastAsia"/>
        </w:rPr>
      </w:pPr>
      <w:r>
        <w:rPr>
          <w:rFonts w:hint="eastAsia" w:eastAsia="方正黑体_GBK"/>
        </w:rPr>
        <w:t>第十七条</w:t>
      </w:r>
      <w:r>
        <w:rPr>
          <w:rFonts w:hint="eastAsia"/>
        </w:rPr>
        <w:t xml:space="preserve">  本办法自印发之日起施行。</w:t>
      </w:r>
    </w:p>
    <w:p>
      <w:pPr>
        <w:ind w:firstLine="632" w:firstLineChars="200"/>
      </w:pPr>
      <w:r>
        <w:br w:type="page"/>
      </w:r>
    </w:p>
    <w:p>
      <w:pPr>
        <w:ind w:firstLine="632" w:firstLineChars="200"/>
      </w:pPr>
    </w:p>
    <w:p>
      <w:pPr>
        <w:spacing w:line="590" w:lineRule="exact"/>
        <w:jc w:val="center"/>
        <w:rPr>
          <w:rFonts w:hint="eastAsia" w:eastAsia="方正小标宋_GBK"/>
          <w:sz w:val="44"/>
          <w:szCs w:val="44"/>
        </w:rPr>
      </w:pPr>
      <w:r>
        <w:rPr>
          <w:rFonts w:hint="eastAsia" w:eastAsia="方正小标宋_GBK"/>
          <w:sz w:val="44"/>
          <w:szCs w:val="44"/>
        </w:rPr>
        <w:t>重庆市市级部门预算零结转管理办法</w:t>
      </w:r>
    </w:p>
    <w:p>
      <w:pPr>
        <w:ind w:firstLine="632" w:firstLineChars="200"/>
      </w:pPr>
    </w:p>
    <w:p>
      <w:pPr>
        <w:ind w:firstLine="632" w:firstLineChars="200"/>
        <w:rPr>
          <w:rFonts w:hint="eastAsia"/>
        </w:rPr>
      </w:pPr>
      <w:r>
        <w:rPr>
          <w:rFonts w:hint="eastAsia" w:eastAsia="方正黑体_GBK"/>
        </w:rPr>
        <w:t xml:space="preserve">第一条  </w:t>
      </w:r>
      <w:r>
        <w:rPr>
          <w:rFonts w:hint="eastAsia"/>
        </w:rPr>
        <w:t>为规范市级预算管理，盘活财政存量资金，加快预算支出进度，发挥财政资金使用效益，根据《中华人民共和国预算法》《中华人民共和国预算法实施条例》以及中央关于统筹使用财政资金和盘活财政存量资金的有关文件精神，制定本办法。</w:t>
      </w:r>
    </w:p>
    <w:p>
      <w:pPr>
        <w:ind w:firstLine="632" w:firstLineChars="200"/>
        <w:rPr>
          <w:rFonts w:hint="eastAsia"/>
        </w:rPr>
      </w:pPr>
      <w:r>
        <w:rPr>
          <w:rFonts w:hint="eastAsia" w:eastAsia="方正黑体_GBK"/>
        </w:rPr>
        <w:t>第二条</w:t>
      </w:r>
      <w:r>
        <w:rPr>
          <w:rFonts w:hint="eastAsia"/>
        </w:rPr>
        <w:t xml:space="preserve">  本办法所称市级部门预算零结转，是指对市级预算单位年底未执行完的预算，由市级财政部门收回统筹使用，原则上不再结转使用。</w:t>
      </w:r>
    </w:p>
    <w:p>
      <w:pPr>
        <w:ind w:firstLine="632" w:firstLineChars="200"/>
        <w:rPr>
          <w:rFonts w:hint="eastAsia"/>
        </w:rPr>
      </w:pPr>
      <w:r>
        <w:rPr>
          <w:rFonts w:hint="eastAsia" w:eastAsia="方正黑体_GBK"/>
        </w:rPr>
        <w:t>第三条</w:t>
      </w:r>
      <w:r>
        <w:rPr>
          <w:rFonts w:hint="eastAsia"/>
        </w:rPr>
        <w:t xml:space="preserve">  本办法适用于市级财力安排的一般公共预算。对中央补助安排市级预算单位的预算，确需跨年执行的，年底按照权责发生制列支，由市级预算单位继续原用途使用，列支后两年仍未使用完的，收回市级财政部门统筹使用。对政府性基金预算和国有资本经营预算安排市级预算单位的预算，确需跨年执行的，由市级财政部门收回后继续安排市级预算单位原用途使用。</w:t>
      </w:r>
    </w:p>
    <w:p>
      <w:pPr>
        <w:ind w:firstLine="632" w:firstLineChars="200"/>
        <w:rPr>
          <w:rFonts w:hint="eastAsia"/>
        </w:rPr>
      </w:pPr>
      <w:r>
        <w:rPr>
          <w:rFonts w:hint="eastAsia" w:eastAsia="方正黑体_GBK"/>
        </w:rPr>
        <w:t xml:space="preserve">第四条 </w:t>
      </w:r>
      <w:r>
        <w:rPr>
          <w:rFonts w:hint="eastAsia"/>
        </w:rPr>
        <w:t xml:space="preserve"> 每年6月底和9月底执行完毕后，由市级财政部门牵头，梳理市级各部门一般公共预算支出进度，对于低于序时进度的部门发出预警通知。</w:t>
      </w:r>
    </w:p>
    <w:p>
      <w:pPr>
        <w:ind w:firstLine="632" w:firstLineChars="200"/>
        <w:rPr>
          <w:rFonts w:hint="eastAsia"/>
        </w:rPr>
      </w:pPr>
      <w:r>
        <w:rPr>
          <w:rFonts w:hint="eastAsia" w:eastAsia="方正黑体_GBK"/>
        </w:rPr>
        <w:t>第五条</w:t>
      </w:r>
      <w:r>
        <w:rPr>
          <w:rFonts w:hint="eastAsia"/>
        </w:rPr>
        <w:t xml:space="preserve">  每年12月底年终关账后，市级财政部门根据市级各部门预算执行情况，确定部门结转资金规模，统一收回并补充预算稳定调节基金，按照相关规定平衡以后年度预算。</w:t>
      </w:r>
    </w:p>
    <w:p>
      <w:pPr>
        <w:ind w:firstLine="632" w:firstLineChars="200"/>
        <w:rPr>
          <w:rFonts w:hint="eastAsia"/>
        </w:rPr>
      </w:pPr>
      <w:r>
        <w:rPr>
          <w:rFonts w:hint="eastAsia" w:eastAsia="方正黑体_GBK"/>
        </w:rPr>
        <w:t>第六条</w:t>
      </w:r>
      <w:r>
        <w:rPr>
          <w:rFonts w:hint="eastAsia"/>
        </w:rPr>
        <w:t xml:space="preserve">  对已签订合同尚未付款的政府采购预算，确需跨年执行的，年底按照权责发生制列支，由市级预算单位继续原用途使用，列支后一年仍未使用完的，收回市级财政部门统筹使用。</w:t>
      </w:r>
    </w:p>
    <w:p>
      <w:pPr>
        <w:ind w:firstLine="632" w:firstLineChars="200"/>
        <w:rPr>
          <w:rFonts w:hint="eastAsia"/>
        </w:rPr>
      </w:pPr>
      <w:r>
        <w:rPr>
          <w:rFonts w:hint="eastAsia"/>
        </w:rPr>
        <w:t>对科研项目预算，按照《中共中央办公厅国务院办公厅关于进一步完善中央财政科研项目资金管理等政策的若干意见》《中共重庆市委办公厅重庆市人民政府办公厅关于进一步完善我市财政科研项目资金管理等政策的实施意见》相关精神，年底按照权责发生制列支，由市级预算单位在科研期内继续原用途使用，科研期满后两年仍未使用完的，收回市级财政部门统筹使用。</w:t>
      </w:r>
    </w:p>
    <w:p>
      <w:pPr>
        <w:ind w:firstLine="632" w:firstLineChars="200"/>
        <w:rPr>
          <w:rFonts w:hint="eastAsia"/>
        </w:rPr>
      </w:pPr>
      <w:r>
        <w:rPr>
          <w:rFonts w:hint="eastAsia" w:eastAsia="方正黑体_GBK"/>
        </w:rPr>
        <w:t>第七条</w:t>
      </w:r>
      <w:r>
        <w:rPr>
          <w:rFonts w:hint="eastAsia"/>
        </w:rPr>
        <w:t xml:space="preserve">  市级预算单位按照要求收回财政统筹使用的资金，确需在次年继续安排项目支出的，一律按新项目向市级财政部门重新申报，按程序通过后安排执行。</w:t>
      </w:r>
    </w:p>
    <w:p>
      <w:pPr>
        <w:ind w:firstLine="632" w:firstLineChars="200"/>
        <w:rPr>
          <w:rFonts w:hint="eastAsia"/>
        </w:rPr>
      </w:pPr>
      <w:r>
        <w:rPr>
          <w:rFonts w:hint="eastAsia" w:eastAsia="方正黑体_GBK"/>
        </w:rPr>
        <w:t>第八条</w:t>
      </w:r>
      <w:r>
        <w:rPr>
          <w:rFonts w:hint="eastAsia"/>
        </w:rPr>
        <w:t xml:space="preserve">  各区县政府可参照本办法从严执行，适用范围仅限于本级财力安排预算。</w:t>
      </w:r>
    </w:p>
    <w:p>
      <w:pPr>
        <w:ind w:firstLine="632" w:firstLineChars="200"/>
        <w:rPr>
          <w:rFonts w:hint="eastAsia"/>
        </w:rPr>
      </w:pPr>
      <w:r>
        <w:rPr>
          <w:rFonts w:hint="eastAsia" w:eastAsia="方正黑体_GBK"/>
        </w:rPr>
        <w:t>第九条</w:t>
      </w:r>
      <w:r>
        <w:rPr>
          <w:rFonts w:hint="eastAsia"/>
        </w:rPr>
        <w:t xml:space="preserve">  本办法自印发之日起施行。</w:t>
      </w:r>
    </w:p>
    <w:p>
      <w:pPr>
        <w:ind w:firstLine="632" w:firstLineChars="200"/>
      </w:pPr>
      <w:r>
        <w:br w:type="page"/>
      </w:r>
    </w:p>
    <w:p>
      <w:pPr>
        <w:ind w:firstLine="632" w:firstLineChars="200"/>
      </w:pPr>
    </w:p>
    <w:p>
      <w:pPr>
        <w:spacing w:line="590" w:lineRule="exact"/>
        <w:jc w:val="center"/>
        <w:rPr>
          <w:rFonts w:hint="eastAsia" w:eastAsia="方正小标宋_GBK"/>
          <w:sz w:val="44"/>
          <w:szCs w:val="44"/>
        </w:rPr>
      </w:pPr>
      <w:r>
        <w:rPr>
          <w:rFonts w:hint="eastAsia" w:eastAsia="方正小标宋_GBK"/>
          <w:sz w:val="44"/>
          <w:szCs w:val="44"/>
        </w:rPr>
        <w:t>重庆市市级预算安排与监督检查和</w:t>
      </w:r>
    </w:p>
    <w:p>
      <w:pPr>
        <w:spacing w:line="590" w:lineRule="exact"/>
        <w:jc w:val="center"/>
        <w:rPr>
          <w:rFonts w:hint="eastAsia" w:eastAsia="方正小标宋_GBK"/>
          <w:sz w:val="44"/>
          <w:szCs w:val="44"/>
        </w:rPr>
      </w:pPr>
      <w:r>
        <w:rPr>
          <w:rFonts w:hint="eastAsia" w:eastAsia="方正小标宋_GBK"/>
          <w:sz w:val="44"/>
          <w:szCs w:val="44"/>
        </w:rPr>
        <w:t>绩效评价结果挂钩办法</w:t>
      </w:r>
    </w:p>
    <w:p>
      <w:pPr>
        <w:ind w:firstLine="632" w:firstLineChars="200"/>
      </w:pPr>
    </w:p>
    <w:p>
      <w:pPr>
        <w:ind w:firstLine="632" w:firstLineChars="200"/>
        <w:rPr>
          <w:rFonts w:hint="eastAsia"/>
        </w:rPr>
      </w:pPr>
      <w:r>
        <w:rPr>
          <w:rFonts w:hint="eastAsia" w:eastAsia="方正黑体_GBK"/>
        </w:rPr>
        <w:t xml:space="preserve">第一条  </w:t>
      </w:r>
      <w:r>
        <w:rPr>
          <w:rFonts w:hint="eastAsia"/>
        </w:rPr>
        <w:t>为有效运用监督检查结果和绩效评价结果，激励约束市级各部门、各区县提高财政资金使用效益，根据《中华人民共和国预算法》《中华人民共和国预算法实施条例》《重庆市预算审查监督条例》等法律法规和《中共中央国务院关于全面实施预算绩效管理的意见》等文件规定，制定本办法。</w:t>
      </w:r>
    </w:p>
    <w:p>
      <w:pPr>
        <w:ind w:firstLine="632" w:firstLineChars="200"/>
        <w:rPr>
          <w:rFonts w:hint="eastAsia"/>
        </w:rPr>
      </w:pPr>
      <w:r>
        <w:rPr>
          <w:rFonts w:hint="eastAsia" w:eastAsia="方正黑体_GBK"/>
        </w:rPr>
        <w:t>第二条</w:t>
      </w:r>
      <w:r>
        <w:rPr>
          <w:rFonts w:hint="eastAsia"/>
        </w:rPr>
        <w:t xml:space="preserve">  凡纳入市级预算管理的国家机关、政党组织、人民团体和事业单位等一级预算单位（以下统称市级部门）的预算安排，以及市对各区县的转移支付安排，适用本办法。</w:t>
      </w:r>
    </w:p>
    <w:p>
      <w:pPr>
        <w:ind w:firstLine="632" w:firstLineChars="200"/>
        <w:rPr>
          <w:rFonts w:hint="eastAsia"/>
        </w:rPr>
      </w:pPr>
      <w:r>
        <w:rPr>
          <w:rFonts w:hint="eastAsia" w:eastAsia="方正黑体_GBK"/>
        </w:rPr>
        <w:t xml:space="preserve">第三条 </w:t>
      </w:r>
      <w:r>
        <w:rPr>
          <w:rFonts w:hint="eastAsia"/>
        </w:rPr>
        <w:t xml:space="preserve"> 市级以上的各类监督检查和绩效评价结果中涉及市级部门和区县的，应统一纳入市级预算安排挂钩机制。挂钩机制分为与部门预算挂钩、与转移支付挂钩、与政策和项目预算挂钩三类。</w:t>
      </w:r>
    </w:p>
    <w:p>
      <w:pPr>
        <w:ind w:firstLine="632" w:firstLineChars="200"/>
        <w:rPr>
          <w:rFonts w:hint="eastAsia"/>
        </w:rPr>
      </w:pPr>
      <w:r>
        <w:rPr>
          <w:rFonts w:hint="eastAsia" w:eastAsia="方正黑体_GBK"/>
        </w:rPr>
        <w:t>第四条</w:t>
      </w:r>
      <w:r>
        <w:rPr>
          <w:rFonts w:hint="eastAsia"/>
        </w:rPr>
        <w:t xml:space="preserve">  市级预算安排与监督检查和绩效评价结果挂钩应遵循以下基本原则：</w:t>
      </w:r>
    </w:p>
    <w:p>
      <w:pPr>
        <w:ind w:firstLine="632" w:firstLineChars="200"/>
        <w:rPr>
          <w:rFonts w:hint="eastAsia"/>
        </w:rPr>
      </w:pPr>
      <w:r>
        <w:rPr>
          <w:rFonts w:hint="eastAsia"/>
        </w:rPr>
        <w:t>（一）奖惩结合原则。既要奖励激励先进市级部门和区县，又要惩罚约束落后市级部门和区县。</w:t>
      </w:r>
    </w:p>
    <w:p>
      <w:pPr>
        <w:ind w:firstLine="632" w:firstLineChars="200"/>
        <w:rPr>
          <w:rFonts w:hint="eastAsia"/>
        </w:rPr>
      </w:pPr>
      <w:r>
        <w:rPr>
          <w:rFonts w:hint="eastAsia"/>
        </w:rPr>
        <w:t>（二）公开公平原则。制定统一评价方案，建立客观评价指标体系，评价结果对市级部门和区县公开。</w:t>
      </w:r>
    </w:p>
    <w:p>
      <w:pPr>
        <w:ind w:firstLine="632" w:firstLineChars="200"/>
        <w:rPr>
          <w:rFonts w:hint="eastAsia"/>
        </w:rPr>
      </w:pPr>
      <w:r>
        <w:rPr>
          <w:rFonts w:hint="eastAsia"/>
        </w:rPr>
        <w:t>（三）分类挂钩原则。对市级部门和区县实行分类打分、排名并挂钩。</w:t>
      </w:r>
    </w:p>
    <w:p>
      <w:pPr>
        <w:ind w:firstLine="632" w:firstLineChars="200"/>
        <w:rPr>
          <w:rFonts w:hint="eastAsia"/>
        </w:rPr>
      </w:pPr>
      <w:r>
        <w:rPr>
          <w:rFonts w:hint="eastAsia" w:eastAsia="方正黑体_GBK"/>
        </w:rPr>
        <w:t>第五条</w:t>
      </w:r>
      <w:r>
        <w:rPr>
          <w:rFonts w:hint="eastAsia"/>
        </w:rPr>
        <w:t xml:space="preserve">  市财政局负责市级部门、区县的绩效评价并提出调整方案，负责预算安排挂钩的具体实施。市审计局负责提供审计报告及相关资料，并按本办法第十二条确定的分档原则进行归类分档评价。</w:t>
      </w:r>
    </w:p>
    <w:p>
      <w:pPr>
        <w:ind w:firstLine="632" w:firstLineChars="200"/>
        <w:rPr>
          <w:rFonts w:hint="eastAsia"/>
        </w:rPr>
      </w:pPr>
      <w:r>
        <w:rPr>
          <w:rFonts w:hint="eastAsia" w:eastAsia="方正黑体_GBK"/>
        </w:rPr>
        <w:t xml:space="preserve">第六条 </w:t>
      </w:r>
      <w:r>
        <w:rPr>
          <w:rFonts w:hint="eastAsia"/>
        </w:rPr>
        <w:t xml:space="preserve"> 市级部门按部门性质分为党群、政府、法检、其他4类开展评价，区县按统一标准开展评价，并可结合实际情况进一步细化分类。</w:t>
      </w:r>
    </w:p>
    <w:p>
      <w:pPr>
        <w:ind w:firstLine="632" w:firstLineChars="200"/>
        <w:rPr>
          <w:rFonts w:hint="eastAsia"/>
        </w:rPr>
      </w:pPr>
      <w:r>
        <w:rPr>
          <w:rFonts w:hint="eastAsia" w:eastAsia="方正黑体_GBK"/>
        </w:rPr>
        <w:t>第七条</w:t>
      </w:r>
      <w:r>
        <w:rPr>
          <w:rFonts w:hint="eastAsia"/>
        </w:rPr>
        <w:t xml:space="preserve">  纳入挂钩机制的指标主要包括：</w:t>
      </w:r>
    </w:p>
    <w:p>
      <w:pPr>
        <w:ind w:firstLine="632" w:firstLineChars="200"/>
        <w:rPr>
          <w:rFonts w:hint="eastAsia"/>
        </w:rPr>
      </w:pPr>
      <w:r>
        <w:rPr>
          <w:rFonts w:hint="eastAsia"/>
        </w:rPr>
        <w:t>（一）市级以上各类审计结果，以市审计局和审计署正式的审计结果为准。</w:t>
      </w:r>
    </w:p>
    <w:p>
      <w:pPr>
        <w:ind w:firstLine="632" w:firstLineChars="200"/>
        <w:rPr>
          <w:rFonts w:hint="eastAsia"/>
        </w:rPr>
      </w:pPr>
      <w:r>
        <w:rPr>
          <w:rFonts w:hint="eastAsia"/>
        </w:rPr>
        <w:t>（二）绩效评价结果，包含市级部门整体绩效评价和区县财政运行情况综合绩效评价结果，以市级部门、区县自评结果和市财政局正式评价结果为准。</w:t>
      </w:r>
    </w:p>
    <w:p>
      <w:pPr>
        <w:ind w:firstLine="616" w:firstLineChars="200"/>
        <w:rPr>
          <w:rFonts w:hint="eastAsia"/>
          <w:spacing w:val="-4"/>
        </w:rPr>
      </w:pPr>
      <w:r>
        <w:rPr>
          <w:rFonts w:hint="eastAsia"/>
          <w:spacing w:val="-4"/>
        </w:rPr>
        <w:t>（三）中央及市级财政部门的各类监督检查、考核的结果，以中央及市级财政部门正式印发的监督检查报告、情况通报等为准。</w:t>
      </w:r>
    </w:p>
    <w:p>
      <w:pPr>
        <w:ind w:firstLine="632" w:firstLineChars="200"/>
        <w:rPr>
          <w:rFonts w:hint="eastAsia"/>
        </w:rPr>
      </w:pPr>
      <w:r>
        <w:rPr>
          <w:rFonts w:hint="eastAsia" w:eastAsia="方正黑体_GBK"/>
        </w:rPr>
        <w:t>第八条</w:t>
      </w:r>
      <w:r>
        <w:rPr>
          <w:rFonts w:hint="eastAsia"/>
        </w:rPr>
        <w:t xml:space="preserve">  按综合评价和单项评价两类分别排名计分。综合评价：总分为100分。市级部门综合评价以部门整体绩效目标的自评结果和市级财政部门对部门整体绩效共性指标的评价结果作为基础得分，市级审计部门的审计结果和市级财政部门的重点绩效评价结果作为加分和扣分项。综合考虑市级部门审计和重点绩效评价覆盖面的实际，可将市级部门的得分排名分为开展专项审计和重点评价类、未开展专项审计和重点评价类。区县综合评价以审计结果和财政运行情况综合绩效评价结果各占50%。单项评价：每年可以结合当年的管理改革和监督检查重点，选取1—3项核心指标，每项按100分总值单独计分排名。</w:t>
      </w:r>
    </w:p>
    <w:p>
      <w:pPr>
        <w:ind w:firstLine="632" w:firstLineChars="200"/>
        <w:rPr>
          <w:rFonts w:hint="eastAsia"/>
        </w:rPr>
      </w:pPr>
      <w:r>
        <w:rPr>
          <w:rFonts w:hint="eastAsia"/>
        </w:rPr>
        <w:t>上级部门的各类专项绩效评价、监督检查、考核的通报结果，已在上述结果中出现或情况相似的不重复计分；新出现的情况作为单独加分或扣分项。</w:t>
      </w:r>
    </w:p>
    <w:p>
      <w:pPr>
        <w:ind w:firstLine="632" w:firstLineChars="200"/>
        <w:rPr>
          <w:rFonts w:hint="eastAsia"/>
        </w:rPr>
      </w:pPr>
      <w:r>
        <w:rPr>
          <w:rFonts w:hint="eastAsia" w:eastAsia="方正黑体_GBK"/>
        </w:rPr>
        <w:t xml:space="preserve">第九条 </w:t>
      </w:r>
      <w:r>
        <w:rPr>
          <w:rFonts w:hint="eastAsia"/>
        </w:rPr>
        <w:t xml:space="preserve"> 综合评价每年分别取得分靠前和靠后3—5名的市级部门、区县进行奖励和惩罚。得分排名靠后但综合评价、单项评价分值高于85分的市级部门和区县免于惩罚。</w:t>
      </w:r>
    </w:p>
    <w:p>
      <w:pPr>
        <w:ind w:firstLine="632" w:firstLineChars="200"/>
        <w:rPr>
          <w:rFonts w:hint="eastAsia"/>
        </w:rPr>
      </w:pPr>
      <w:r>
        <w:rPr>
          <w:rFonts w:hint="eastAsia" w:eastAsia="方正黑体_GBK"/>
        </w:rPr>
        <w:t xml:space="preserve">第十条 </w:t>
      </w:r>
      <w:r>
        <w:rPr>
          <w:rFonts w:hint="eastAsia"/>
        </w:rPr>
        <w:t xml:space="preserve"> 市级部门综合评价的奖（罚）金额为该部门公用经费及一般性项目支出之和的5%且最高不超过500万元。</w:t>
      </w:r>
    </w:p>
    <w:p>
      <w:pPr>
        <w:ind w:firstLine="632" w:firstLineChars="200"/>
        <w:rPr>
          <w:rFonts w:hint="eastAsia"/>
        </w:rPr>
      </w:pPr>
      <w:r>
        <w:rPr>
          <w:rFonts w:hint="eastAsia"/>
        </w:rPr>
        <w:t>市级部门单项评价的奖（罚）金额为该部门公用经费及一般性项目支出之和的1%且最高不超过100万元。</w:t>
      </w:r>
    </w:p>
    <w:p>
      <w:pPr>
        <w:ind w:firstLine="632" w:firstLineChars="200"/>
        <w:rPr>
          <w:rFonts w:hint="eastAsia"/>
        </w:rPr>
      </w:pPr>
      <w:r>
        <w:rPr>
          <w:rFonts w:hint="eastAsia"/>
        </w:rPr>
        <w:t>区县综合评价的奖（罚）金额为2000万元。</w:t>
      </w:r>
    </w:p>
    <w:p>
      <w:pPr>
        <w:ind w:firstLine="632" w:firstLineChars="200"/>
        <w:rPr>
          <w:rFonts w:hint="eastAsia"/>
        </w:rPr>
      </w:pPr>
      <w:r>
        <w:rPr>
          <w:rFonts w:hint="eastAsia"/>
        </w:rPr>
        <w:t>区县单项评价的奖（罚）金额为300万元。</w:t>
      </w:r>
    </w:p>
    <w:p>
      <w:pPr>
        <w:ind w:firstLine="632" w:firstLineChars="200"/>
        <w:rPr>
          <w:rFonts w:hint="eastAsia"/>
        </w:rPr>
      </w:pPr>
      <w:r>
        <w:rPr>
          <w:rFonts w:hint="eastAsia" w:eastAsia="方正黑体_GBK"/>
        </w:rPr>
        <w:t xml:space="preserve">第十一条 </w:t>
      </w:r>
      <w:r>
        <w:rPr>
          <w:rFonts w:hint="eastAsia"/>
        </w:rPr>
        <w:t xml:space="preserve"> 对市级部门的奖励，市级部门可在合法合规的前提下，全部统筹用于公用经费及一般性项目支出。对市级部门的惩罚，扣减其公用经费及一般性项目支出。</w:t>
      </w:r>
    </w:p>
    <w:p>
      <w:pPr>
        <w:ind w:firstLine="632" w:firstLineChars="200"/>
        <w:rPr>
          <w:rFonts w:hint="eastAsia"/>
        </w:rPr>
      </w:pPr>
      <w:r>
        <w:rPr>
          <w:rFonts w:hint="eastAsia"/>
        </w:rPr>
        <w:t>对区县的奖（罚）金全部纳入市与区县两级财力结算办理。</w:t>
      </w:r>
    </w:p>
    <w:p>
      <w:pPr>
        <w:ind w:firstLine="632" w:firstLineChars="200"/>
        <w:rPr>
          <w:rFonts w:hint="eastAsia"/>
        </w:rPr>
      </w:pPr>
      <w:r>
        <w:rPr>
          <w:rFonts w:hint="eastAsia"/>
        </w:rPr>
        <w:t>对各类监督检查和绩效评价发现的项目问题，还应同时按照整改要求和该专项资金管理办法要求进行整改。问题项目属于非必须项目的，还应通过腾退调整等方式，缩减该项目支出规模直至取消。</w:t>
      </w:r>
    </w:p>
    <w:p>
      <w:pPr>
        <w:ind w:firstLine="632" w:firstLineChars="200"/>
        <w:rPr>
          <w:rFonts w:hint="eastAsia"/>
        </w:rPr>
      </w:pPr>
      <w:r>
        <w:rPr>
          <w:rFonts w:hint="eastAsia" w:eastAsia="方正黑体_GBK"/>
        </w:rPr>
        <w:t>第十二条</w:t>
      </w:r>
      <w:r>
        <w:rPr>
          <w:rFonts w:hint="eastAsia"/>
        </w:rPr>
        <w:t xml:space="preserve">  将审计和重点绩效评价问题分为4类，每类问题扣分分别设置基准分值，在同一问题下根据严重程度分别对市级部门和区县进行排位，并按功效系数法相应折算得分。A类问题主要是市级部门和区县严重违反《中华人民共和国预算法》等相关法律法规，造成财政资金重大损失浪费的；B类问题主要是市级部门和区县管理不规范，导致财政资金闲置，未及时发挥财政资金使用效益的；C类问题主要是市级部门和区县管理、改革工作执行不严格，使管理要求和改革目标不能完全实现的；D类问题主要是市级部门和区县基础管理工作薄弱，造成其他性质较轻、影响较小的问题。</w:t>
      </w:r>
    </w:p>
    <w:p>
      <w:pPr>
        <w:ind w:firstLine="632" w:firstLineChars="200"/>
        <w:rPr>
          <w:rFonts w:hint="eastAsia"/>
        </w:rPr>
      </w:pPr>
      <w:r>
        <w:rPr>
          <w:rFonts w:hint="eastAsia"/>
        </w:rPr>
        <w:t>其他各类监督检查发现的问题参照上述问题折算计分。</w:t>
      </w:r>
    </w:p>
    <w:p>
      <w:pPr>
        <w:ind w:firstLine="632" w:firstLineChars="200"/>
        <w:rPr>
          <w:rFonts w:hint="eastAsia"/>
        </w:rPr>
      </w:pPr>
      <w:r>
        <w:rPr>
          <w:rFonts w:hint="eastAsia"/>
        </w:rPr>
        <w:t>对于市级部门和区县屡查屡犯的问题，加计50%扣分，加大惩罚力度。</w:t>
      </w:r>
    </w:p>
    <w:p>
      <w:pPr>
        <w:ind w:firstLine="632" w:firstLineChars="200"/>
        <w:rPr>
          <w:rFonts w:hint="eastAsia"/>
        </w:rPr>
      </w:pPr>
      <w:r>
        <w:rPr>
          <w:rFonts w:hint="eastAsia" w:eastAsia="方正黑体_GBK"/>
        </w:rPr>
        <w:t xml:space="preserve">第十三条 </w:t>
      </w:r>
      <w:r>
        <w:rPr>
          <w:rFonts w:hint="eastAsia"/>
        </w:rPr>
        <w:t xml:space="preserve"> 每年8月底前，由市财政局会同市审计局根据当年市委、市政府确定的监督检查和绩效评价重点，拟定当年的具体实施方案，明确挂钩指标、每类问题基础分值、计分规则、奖惩数量及金额等，按程序报批后实施。</w:t>
      </w:r>
    </w:p>
    <w:p>
      <w:pPr>
        <w:ind w:firstLine="632" w:firstLineChars="200"/>
        <w:rPr>
          <w:rFonts w:hint="eastAsia"/>
        </w:rPr>
      </w:pPr>
      <w:r>
        <w:rPr>
          <w:rFonts w:hint="eastAsia"/>
        </w:rPr>
        <w:t>每年9月底前，由市财政局会同市审计局汇总上一年度的监督检查和绩效评价结果后，拟定奖惩方案及需腾退调整的项目清单，并按程序报市政府审批后，在次年年初预算安排时执行。</w:t>
      </w:r>
    </w:p>
    <w:p>
      <w:pPr>
        <w:ind w:firstLine="616" w:firstLineChars="200"/>
        <w:rPr>
          <w:rFonts w:hint="eastAsia"/>
          <w:spacing w:val="-4"/>
        </w:rPr>
      </w:pPr>
      <w:r>
        <w:rPr>
          <w:rFonts w:hint="eastAsia"/>
          <w:spacing w:val="-4"/>
        </w:rPr>
        <w:t>属于上一年度期间的专项审计（检查）报告在当年奖惩方案及腾退调整的项目清单报批后才出台的，纳入下一年的结果运用中。</w:t>
      </w:r>
    </w:p>
    <w:p>
      <w:pPr>
        <w:ind w:firstLine="632" w:firstLineChars="200"/>
        <w:rPr>
          <w:rFonts w:hint="eastAsia"/>
        </w:rPr>
      </w:pPr>
      <w:r>
        <w:rPr>
          <w:rFonts w:hint="eastAsia" w:eastAsia="方正黑体_GBK"/>
        </w:rPr>
        <w:t>第十四条</w:t>
      </w:r>
      <w:r>
        <w:rPr>
          <w:rFonts w:hint="eastAsia"/>
        </w:rPr>
        <w:t xml:space="preserve">  本办法自印发之日起施行。</w:t>
      </w:r>
    </w:p>
    <w:p>
      <w:pPr>
        <w:rPr>
          <w:rFonts w:hint="eastAsia"/>
        </w:rPr>
      </w:pPr>
    </w:p>
    <w:sectPr>
      <w:footerReference r:id="rId3" w:type="default"/>
      <w:footerReference r:id="rId4" w:type="even"/>
      <w:pgSz w:w="11906" w:h="16838"/>
      <w:pgMar w:top="2098" w:right="1531" w:bottom="1985" w:left="1531" w:header="851" w:footer="1474"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5B776E-A88B-4BA2-B405-6064BDEAF2F0}"/>
  </w:font>
  <w:font w:name="Arial">
    <w:panose1 w:val="020B0604020202020204"/>
    <w:charset w:val="01"/>
    <w:family w:val="swiss"/>
    <w:pitch w:val="default"/>
    <w:sig w:usb0="E0002EFF" w:usb1="C000785B" w:usb2="00000009" w:usb3="00000000" w:csb0="400001FF" w:csb1="FFFF0000"/>
    <w:embedRegular r:id="rId2" w:fontKey="{D0F73393-0551-482E-8059-23272A48338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4437425-9B58-492C-B9E7-1F60FA4FAEBF}"/>
  </w:font>
  <w:font w:name="Symbol">
    <w:panose1 w:val="05050102010706020507"/>
    <w:charset w:val="02"/>
    <w:family w:val="roman"/>
    <w:pitch w:val="default"/>
    <w:sig w:usb0="00000000" w:usb1="00000000" w:usb2="00000000" w:usb3="00000000" w:csb0="80000000" w:csb1="00000000"/>
    <w:embedRegular r:id="rId4" w:fontKey="{064F59C4-EB34-4584-B0C0-302352D363B0}"/>
  </w:font>
  <w:font w:name="Calibri">
    <w:panose1 w:val="020F0502020204030204"/>
    <w:charset w:val="00"/>
    <w:family w:val="swiss"/>
    <w:pitch w:val="default"/>
    <w:sig w:usb0="E0002EFF" w:usb1="C000247B" w:usb2="00000009" w:usb3="00000000" w:csb0="200001FF" w:csb1="00000000"/>
    <w:embedRegular r:id="rId5" w:fontKey="{E7A9ECD9-E9C2-4735-990B-307970F6260F}"/>
  </w:font>
  <w:font w:name="方正仿宋_GBK">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script"/>
    <w:pitch w:val="default"/>
    <w:sig w:usb0="00000001" w:usb1="080E0000" w:usb2="00000010" w:usb3="00000000" w:csb0="00040000" w:csb1="00000000"/>
    <w:embedRegular r:id="rId6" w:fontKey="{F8B72C05-A977-4E6A-94F4-B9F45F34E3AE}"/>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embedRegular r:id="rId7" w:fontKey="{9CB75104-04D8-42DB-8F4D-B4B9FC278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jc w:val="right"/>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1</w:t>
    </w:r>
    <w:r>
      <w:rPr>
        <w:kern w:val="0"/>
        <w:sz w:val="28"/>
      </w:rPr>
      <w:fldChar w:fldCharType="end"/>
    </w:r>
    <w:r>
      <w:rPr>
        <w:kern w:val="0"/>
        <w:sz w:val="28"/>
      </w:rPr>
      <w:t xml:space="preserve"> </w:t>
    </w:r>
    <w:r>
      <w:rPr>
        <w:rStyle w:val="6"/>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2</w:t>
    </w:r>
    <w:r>
      <w:rPr>
        <w:kern w:val="0"/>
        <w:sz w:val="28"/>
      </w:rPr>
      <w:fldChar w:fldCharType="end"/>
    </w:r>
    <w:r>
      <w:rPr>
        <w:kern w:val="0"/>
        <w:sz w:val="28"/>
      </w:rPr>
      <w:t xml:space="preserve"> </w:t>
    </w:r>
    <w:r>
      <w:rPr>
        <w:rStyle w:val="6"/>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315"/>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97"/>
    <w:rsid w:val="00000382"/>
    <w:rsid w:val="00000B0B"/>
    <w:rsid w:val="00001049"/>
    <w:rsid w:val="000010EA"/>
    <w:rsid w:val="000025ED"/>
    <w:rsid w:val="00002FEF"/>
    <w:rsid w:val="00003093"/>
    <w:rsid w:val="0000329F"/>
    <w:rsid w:val="000034CC"/>
    <w:rsid w:val="00004C9E"/>
    <w:rsid w:val="00007FC6"/>
    <w:rsid w:val="000116DA"/>
    <w:rsid w:val="000126CE"/>
    <w:rsid w:val="00013335"/>
    <w:rsid w:val="000138C4"/>
    <w:rsid w:val="00014B91"/>
    <w:rsid w:val="00015E64"/>
    <w:rsid w:val="00016A91"/>
    <w:rsid w:val="00017121"/>
    <w:rsid w:val="000175E1"/>
    <w:rsid w:val="000203A4"/>
    <w:rsid w:val="0002067F"/>
    <w:rsid w:val="00020E08"/>
    <w:rsid w:val="0002225C"/>
    <w:rsid w:val="0002331B"/>
    <w:rsid w:val="0002417D"/>
    <w:rsid w:val="0002491C"/>
    <w:rsid w:val="00024B01"/>
    <w:rsid w:val="00025748"/>
    <w:rsid w:val="00025788"/>
    <w:rsid w:val="00025980"/>
    <w:rsid w:val="00026F0E"/>
    <w:rsid w:val="000274E9"/>
    <w:rsid w:val="00027A8B"/>
    <w:rsid w:val="00030168"/>
    <w:rsid w:val="00031173"/>
    <w:rsid w:val="00031C22"/>
    <w:rsid w:val="000326DF"/>
    <w:rsid w:val="00032710"/>
    <w:rsid w:val="00032972"/>
    <w:rsid w:val="00032977"/>
    <w:rsid w:val="00032B25"/>
    <w:rsid w:val="00033BC7"/>
    <w:rsid w:val="00034376"/>
    <w:rsid w:val="00035DBC"/>
    <w:rsid w:val="00035E05"/>
    <w:rsid w:val="0003641C"/>
    <w:rsid w:val="00036919"/>
    <w:rsid w:val="00036EE6"/>
    <w:rsid w:val="00037023"/>
    <w:rsid w:val="0003714B"/>
    <w:rsid w:val="0004032B"/>
    <w:rsid w:val="000405D6"/>
    <w:rsid w:val="000415C6"/>
    <w:rsid w:val="00041B53"/>
    <w:rsid w:val="00041E75"/>
    <w:rsid w:val="00042266"/>
    <w:rsid w:val="0004373C"/>
    <w:rsid w:val="00043866"/>
    <w:rsid w:val="00043AB3"/>
    <w:rsid w:val="000446DF"/>
    <w:rsid w:val="00045098"/>
    <w:rsid w:val="000456BE"/>
    <w:rsid w:val="00045D5D"/>
    <w:rsid w:val="000460AE"/>
    <w:rsid w:val="000476FF"/>
    <w:rsid w:val="000500A7"/>
    <w:rsid w:val="00051EA7"/>
    <w:rsid w:val="00053D37"/>
    <w:rsid w:val="000547A5"/>
    <w:rsid w:val="00055746"/>
    <w:rsid w:val="000568FF"/>
    <w:rsid w:val="00056F10"/>
    <w:rsid w:val="00057F7E"/>
    <w:rsid w:val="0006011B"/>
    <w:rsid w:val="00060328"/>
    <w:rsid w:val="000604B2"/>
    <w:rsid w:val="0006085E"/>
    <w:rsid w:val="00060E1C"/>
    <w:rsid w:val="00062B3C"/>
    <w:rsid w:val="00063AD5"/>
    <w:rsid w:val="00063D1B"/>
    <w:rsid w:val="00064021"/>
    <w:rsid w:val="000650C9"/>
    <w:rsid w:val="00065EDA"/>
    <w:rsid w:val="000660AB"/>
    <w:rsid w:val="00066A54"/>
    <w:rsid w:val="00066CEB"/>
    <w:rsid w:val="00066D40"/>
    <w:rsid w:val="00067F0D"/>
    <w:rsid w:val="00070408"/>
    <w:rsid w:val="000711B0"/>
    <w:rsid w:val="000713E8"/>
    <w:rsid w:val="00071445"/>
    <w:rsid w:val="000714DF"/>
    <w:rsid w:val="00071E64"/>
    <w:rsid w:val="0007237E"/>
    <w:rsid w:val="000729F4"/>
    <w:rsid w:val="000736B4"/>
    <w:rsid w:val="000749FB"/>
    <w:rsid w:val="00074BB1"/>
    <w:rsid w:val="000761F2"/>
    <w:rsid w:val="000767F3"/>
    <w:rsid w:val="00076AD5"/>
    <w:rsid w:val="00077E38"/>
    <w:rsid w:val="000811C0"/>
    <w:rsid w:val="00082A6F"/>
    <w:rsid w:val="00084781"/>
    <w:rsid w:val="00084B8C"/>
    <w:rsid w:val="0008534E"/>
    <w:rsid w:val="000858A8"/>
    <w:rsid w:val="00090B68"/>
    <w:rsid w:val="00091529"/>
    <w:rsid w:val="00091E10"/>
    <w:rsid w:val="00093C5E"/>
    <w:rsid w:val="0009670D"/>
    <w:rsid w:val="00096A73"/>
    <w:rsid w:val="00096AB3"/>
    <w:rsid w:val="00097BAA"/>
    <w:rsid w:val="000A1F65"/>
    <w:rsid w:val="000A4164"/>
    <w:rsid w:val="000A476C"/>
    <w:rsid w:val="000A4A97"/>
    <w:rsid w:val="000A4C0D"/>
    <w:rsid w:val="000A7420"/>
    <w:rsid w:val="000A79DD"/>
    <w:rsid w:val="000A7A95"/>
    <w:rsid w:val="000B1CE9"/>
    <w:rsid w:val="000B29DB"/>
    <w:rsid w:val="000B3C86"/>
    <w:rsid w:val="000B43B8"/>
    <w:rsid w:val="000B4781"/>
    <w:rsid w:val="000B4805"/>
    <w:rsid w:val="000B4E79"/>
    <w:rsid w:val="000B5FDB"/>
    <w:rsid w:val="000B640D"/>
    <w:rsid w:val="000B6C65"/>
    <w:rsid w:val="000B7B3D"/>
    <w:rsid w:val="000C06AD"/>
    <w:rsid w:val="000C2038"/>
    <w:rsid w:val="000C2609"/>
    <w:rsid w:val="000C3C38"/>
    <w:rsid w:val="000C462F"/>
    <w:rsid w:val="000C4ACE"/>
    <w:rsid w:val="000C566F"/>
    <w:rsid w:val="000C5FF3"/>
    <w:rsid w:val="000C622A"/>
    <w:rsid w:val="000C6AF8"/>
    <w:rsid w:val="000C6B0C"/>
    <w:rsid w:val="000C6B21"/>
    <w:rsid w:val="000C702E"/>
    <w:rsid w:val="000C7DF8"/>
    <w:rsid w:val="000D002E"/>
    <w:rsid w:val="000D2B51"/>
    <w:rsid w:val="000D2C2B"/>
    <w:rsid w:val="000D35C8"/>
    <w:rsid w:val="000D37DF"/>
    <w:rsid w:val="000D3F02"/>
    <w:rsid w:val="000D5654"/>
    <w:rsid w:val="000D6290"/>
    <w:rsid w:val="000D6346"/>
    <w:rsid w:val="000D63AE"/>
    <w:rsid w:val="000D70C0"/>
    <w:rsid w:val="000E0E10"/>
    <w:rsid w:val="000E0E39"/>
    <w:rsid w:val="000E2094"/>
    <w:rsid w:val="000E2E8F"/>
    <w:rsid w:val="000E3696"/>
    <w:rsid w:val="000E4449"/>
    <w:rsid w:val="000E4950"/>
    <w:rsid w:val="000E4D7E"/>
    <w:rsid w:val="000E5323"/>
    <w:rsid w:val="000E534A"/>
    <w:rsid w:val="000E5516"/>
    <w:rsid w:val="000E5BF4"/>
    <w:rsid w:val="000E6487"/>
    <w:rsid w:val="000F045B"/>
    <w:rsid w:val="000F10D5"/>
    <w:rsid w:val="000F138F"/>
    <w:rsid w:val="000F2923"/>
    <w:rsid w:val="000F51C7"/>
    <w:rsid w:val="000F54A2"/>
    <w:rsid w:val="000F5717"/>
    <w:rsid w:val="000F5E5C"/>
    <w:rsid w:val="000F6623"/>
    <w:rsid w:val="000F6C37"/>
    <w:rsid w:val="001004CE"/>
    <w:rsid w:val="001007FC"/>
    <w:rsid w:val="00103A4E"/>
    <w:rsid w:val="00103CDD"/>
    <w:rsid w:val="001046A2"/>
    <w:rsid w:val="00105B32"/>
    <w:rsid w:val="00105E16"/>
    <w:rsid w:val="00106901"/>
    <w:rsid w:val="00106917"/>
    <w:rsid w:val="001112CF"/>
    <w:rsid w:val="0011145F"/>
    <w:rsid w:val="00112FC5"/>
    <w:rsid w:val="00113397"/>
    <w:rsid w:val="00113DBB"/>
    <w:rsid w:val="0011527B"/>
    <w:rsid w:val="001164B0"/>
    <w:rsid w:val="0011669C"/>
    <w:rsid w:val="00116A32"/>
    <w:rsid w:val="00117C3E"/>
    <w:rsid w:val="001200E7"/>
    <w:rsid w:val="0012281A"/>
    <w:rsid w:val="00122F31"/>
    <w:rsid w:val="001230FC"/>
    <w:rsid w:val="00123D1B"/>
    <w:rsid w:val="00123DC4"/>
    <w:rsid w:val="00123F72"/>
    <w:rsid w:val="00125E3B"/>
    <w:rsid w:val="0012609C"/>
    <w:rsid w:val="00126520"/>
    <w:rsid w:val="00126552"/>
    <w:rsid w:val="00127557"/>
    <w:rsid w:val="00127795"/>
    <w:rsid w:val="001305A7"/>
    <w:rsid w:val="00130780"/>
    <w:rsid w:val="00130D1A"/>
    <w:rsid w:val="0013201D"/>
    <w:rsid w:val="00132A20"/>
    <w:rsid w:val="00132C70"/>
    <w:rsid w:val="0013570B"/>
    <w:rsid w:val="00137658"/>
    <w:rsid w:val="0014002A"/>
    <w:rsid w:val="00140220"/>
    <w:rsid w:val="001411E4"/>
    <w:rsid w:val="00141AA8"/>
    <w:rsid w:val="00142AA9"/>
    <w:rsid w:val="00143A8B"/>
    <w:rsid w:val="00144E04"/>
    <w:rsid w:val="00145DF4"/>
    <w:rsid w:val="00145E1D"/>
    <w:rsid w:val="00145F70"/>
    <w:rsid w:val="00146738"/>
    <w:rsid w:val="0014704A"/>
    <w:rsid w:val="001504C2"/>
    <w:rsid w:val="001508A5"/>
    <w:rsid w:val="001509A5"/>
    <w:rsid w:val="00150F1E"/>
    <w:rsid w:val="00151AD9"/>
    <w:rsid w:val="0015281B"/>
    <w:rsid w:val="00152833"/>
    <w:rsid w:val="0015389A"/>
    <w:rsid w:val="00153916"/>
    <w:rsid w:val="00153A3D"/>
    <w:rsid w:val="00153CB5"/>
    <w:rsid w:val="00155776"/>
    <w:rsid w:val="0015638C"/>
    <w:rsid w:val="0015694C"/>
    <w:rsid w:val="001574ED"/>
    <w:rsid w:val="001575E6"/>
    <w:rsid w:val="00157736"/>
    <w:rsid w:val="00160D12"/>
    <w:rsid w:val="00160E8A"/>
    <w:rsid w:val="00160F7A"/>
    <w:rsid w:val="00162113"/>
    <w:rsid w:val="00162C80"/>
    <w:rsid w:val="00162E20"/>
    <w:rsid w:val="00163BE4"/>
    <w:rsid w:val="001644EB"/>
    <w:rsid w:val="00166911"/>
    <w:rsid w:val="00166EAB"/>
    <w:rsid w:val="00167B53"/>
    <w:rsid w:val="00170024"/>
    <w:rsid w:val="001700CA"/>
    <w:rsid w:val="00170182"/>
    <w:rsid w:val="001713E4"/>
    <w:rsid w:val="001719B5"/>
    <w:rsid w:val="00171FC6"/>
    <w:rsid w:val="00172761"/>
    <w:rsid w:val="001739C3"/>
    <w:rsid w:val="00175C23"/>
    <w:rsid w:val="001761FC"/>
    <w:rsid w:val="001766D4"/>
    <w:rsid w:val="0017677B"/>
    <w:rsid w:val="00176CC4"/>
    <w:rsid w:val="00177D4D"/>
    <w:rsid w:val="00180704"/>
    <w:rsid w:val="00180B55"/>
    <w:rsid w:val="00181168"/>
    <w:rsid w:val="00181320"/>
    <w:rsid w:val="00181821"/>
    <w:rsid w:val="00182365"/>
    <w:rsid w:val="0018314D"/>
    <w:rsid w:val="00183D3D"/>
    <w:rsid w:val="001853E1"/>
    <w:rsid w:val="001857A7"/>
    <w:rsid w:val="00185819"/>
    <w:rsid w:val="00185C28"/>
    <w:rsid w:val="00186231"/>
    <w:rsid w:val="001879A7"/>
    <w:rsid w:val="001908D9"/>
    <w:rsid w:val="00190910"/>
    <w:rsid w:val="00190B5C"/>
    <w:rsid w:val="0019155F"/>
    <w:rsid w:val="00192102"/>
    <w:rsid w:val="00192BD7"/>
    <w:rsid w:val="00192C50"/>
    <w:rsid w:val="001944AB"/>
    <w:rsid w:val="001945AF"/>
    <w:rsid w:val="001950F3"/>
    <w:rsid w:val="001957E3"/>
    <w:rsid w:val="00195A77"/>
    <w:rsid w:val="00195B27"/>
    <w:rsid w:val="00195CD3"/>
    <w:rsid w:val="0019633C"/>
    <w:rsid w:val="0019660D"/>
    <w:rsid w:val="00196EAE"/>
    <w:rsid w:val="0019740A"/>
    <w:rsid w:val="00197446"/>
    <w:rsid w:val="001A0CE8"/>
    <w:rsid w:val="001A1132"/>
    <w:rsid w:val="001A14F6"/>
    <w:rsid w:val="001A2C46"/>
    <w:rsid w:val="001A35F7"/>
    <w:rsid w:val="001A368C"/>
    <w:rsid w:val="001A3884"/>
    <w:rsid w:val="001A3C53"/>
    <w:rsid w:val="001A3EB5"/>
    <w:rsid w:val="001A3EDE"/>
    <w:rsid w:val="001A40F4"/>
    <w:rsid w:val="001A4E16"/>
    <w:rsid w:val="001A777B"/>
    <w:rsid w:val="001A7A19"/>
    <w:rsid w:val="001A7BC4"/>
    <w:rsid w:val="001B1573"/>
    <w:rsid w:val="001B1681"/>
    <w:rsid w:val="001B1985"/>
    <w:rsid w:val="001B232E"/>
    <w:rsid w:val="001B236F"/>
    <w:rsid w:val="001B2A4C"/>
    <w:rsid w:val="001B4843"/>
    <w:rsid w:val="001B5281"/>
    <w:rsid w:val="001B5978"/>
    <w:rsid w:val="001B5FA3"/>
    <w:rsid w:val="001B61D7"/>
    <w:rsid w:val="001B6981"/>
    <w:rsid w:val="001B796D"/>
    <w:rsid w:val="001C0AE4"/>
    <w:rsid w:val="001C0F98"/>
    <w:rsid w:val="001C2F6E"/>
    <w:rsid w:val="001C436D"/>
    <w:rsid w:val="001C43B5"/>
    <w:rsid w:val="001C4FC6"/>
    <w:rsid w:val="001C586A"/>
    <w:rsid w:val="001C69ED"/>
    <w:rsid w:val="001C6C63"/>
    <w:rsid w:val="001C6CE4"/>
    <w:rsid w:val="001C6D8F"/>
    <w:rsid w:val="001C7F40"/>
    <w:rsid w:val="001D01DF"/>
    <w:rsid w:val="001D0996"/>
    <w:rsid w:val="001D1249"/>
    <w:rsid w:val="001D1323"/>
    <w:rsid w:val="001D1889"/>
    <w:rsid w:val="001D328C"/>
    <w:rsid w:val="001D468F"/>
    <w:rsid w:val="001D5E2D"/>
    <w:rsid w:val="001D6275"/>
    <w:rsid w:val="001D6368"/>
    <w:rsid w:val="001D735E"/>
    <w:rsid w:val="001D75CD"/>
    <w:rsid w:val="001D7777"/>
    <w:rsid w:val="001E0F86"/>
    <w:rsid w:val="001E14DC"/>
    <w:rsid w:val="001E1567"/>
    <w:rsid w:val="001E16CF"/>
    <w:rsid w:val="001E3E01"/>
    <w:rsid w:val="001E3EBD"/>
    <w:rsid w:val="001E5DD4"/>
    <w:rsid w:val="001E6849"/>
    <w:rsid w:val="001E7EA3"/>
    <w:rsid w:val="001F2031"/>
    <w:rsid w:val="001F3177"/>
    <w:rsid w:val="001F345D"/>
    <w:rsid w:val="001F467B"/>
    <w:rsid w:val="001F4DA6"/>
    <w:rsid w:val="001F5290"/>
    <w:rsid w:val="001F5A35"/>
    <w:rsid w:val="001F5B1E"/>
    <w:rsid w:val="001F5EDD"/>
    <w:rsid w:val="001F6064"/>
    <w:rsid w:val="001F6855"/>
    <w:rsid w:val="001F68E9"/>
    <w:rsid w:val="001F6DA4"/>
    <w:rsid w:val="001F7104"/>
    <w:rsid w:val="001F76DB"/>
    <w:rsid w:val="00200EFD"/>
    <w:rsid w:val="002010BC"/>
    <w:rsid w:val="0020136C"/>
    <w:rsid w:val="002027A3"/>
    <w:rsid w:val="00203438"/>
    <w:rsid w:val="00203F5A"/>
    <w:rsid w:val="002043BC"/>
    <w:rsid w:val="002045EA"/>
    <w:rsid w:val="00204C3E"/>
    <w:rsid w:val="00204C4A"/>
    <w:rsid w:val="002052BE"/>
    <w:rsid w:val="00206690"/>
    <w:rsid w:val="00206785"/>
    <w:rsid w:val="0021037F"/>
    <w:rsid w:val="002103C1"/>
    <w:rsid w:val="00210B1E"/>
    <w:rsid w:val="00210F81"/>
    <w:rsid w:val="0021125A"/>
    <w:rsid w:val="002130E8"/>
    <w:rsid w:val="002137BE"/>
    <w:rsid w:val="0021392F"/>
    <w:rsid w:val="002139BB"/>
    <w:rsid w:val="002140CF"/>
    <w:rsid w:val="002140D8"/>
    <w:rsid w:val="0021452E"/>
    <w:rsid w:val="00214A94"/>
    <w:rsid w:val="00214C38"/>
    <w:rsid w:val="00215824"/>
    <w:rsid w:val="002166FA"/>
    <w:rsid w:val="00216C56"/>
    <w:rsid w:val="0021707D"/>
    <w:rsid w:val="002172AB"/>
    <w:rsid w:val="00220483"/>
    <w:rsid w:val="0022084D"/>
    <w:rsid w:val="00220DF3"/>
    <w:rsid w:val="002220F6"/>
    <w:rsid w:val="0022255E"/>
    <w:rsid w:val="00222EB0"/>
    <w:rsid w:val="0022355D"/>
    <w:rsid w:val="00224040"/>
    <w:rsid w:val="00224147"/>
    <w:rsid w:val="0022439F"/>
    <w:rsid w:val="00224BAE"/>
    <w:rsid w:val="0022523D"/>
    <w:rsid w:val="00226E2F"/>
    <w:rsid w:val="00226F05"/>
    <w:rsid w:val="00226F12"/>
    <w:rsid w:val="0023028B"/>
    <w:rsid w:val="002316B7"/>
    <w:rsid w:val="00231756"/>
    <w:rsid w:val="00233D95"/>
    <w:rsid w:val="002348A7"/>
    <w:rsid w:val="002349EF"/>
    <w:rsid w:val="00235010"/>
    <w:rsid w:val="002355A5"/>
    <w:rsid w:val="00235D87"/>
    <w:rsid w:val="00236D56"/>
    <w:rsid w:val="00237E75"/>
    <w:rsid w:val="002428FF"/>
    <w:rsid w:val="00242AFD"/>
    <w:rsid w:val="00243D59"/>
    <w:rsid w:val="00245352"/>
    <w:rsid w:val="0024553A"/>
    <w:rsid w:val="00245F32"/>
    <w:rsid w:val="0024609B"/>
    <w:rsid w:val="00247742"/>
    <w:rsid w:val="00250412"/>
    <w:rsid w:val="00250D73"/>
    <w:rsid w:val="00251358"/>
    <w:rsid w:val="002513F1"/>
    <w:rsid w:val="00252965"/>
    <w:rsid w:val="00252EBA"/>
    <w:rsid w:val="0025354C"/>
    <w:rsid w:val="00253F0A"/>
    <w:rsid w:val="00256678"/>
    <w:rsid w:val="002568E6"/>
    <w:rsid w:val="00257070"/>
    <w:rsid w:val="00257468"/>
    <w:rsid w:val="00261C55"/>
    <w:rsid w:val="0026223F"/>
    <w:rsid w:val="0026233C"/>
    <w:rsid w:val="00262E69"/>
    <w:rsid w:val="0026342D"/>
    <w:rsid w:val="002639F5"/>
    <w:rsid w:val="00264224"/>
    <w:rsid w:val="002645C6"/>
    <w:rsid w:val="002649B0"/>
    <w:rsid w:val="0026522D"/>
    <w:rsid w:val="00265878"/>
    <w:rsid w:val="002669DB"/>
    <w:rsid w:val="002678DD"/>
    <w:rsid w:val="00267B54"/>
    <w:rsid w:val="00270AF8"/>
    <w:rsid w:val="00271221"/>
    <w:rsid w:val="002714EA"/>
    <w:rsid w:val="00271879"/>
    <w:rsid w:val="00273311"/>
    <w:rsid w:val="0027350D"/>
    <w:rsid w:val="00273E8F"/>
    <w:rsid w:val="00274215"/>
    <w:rsid w:val="00274ADA"/>
    <w:rsid w:val="00275090"/>
    <w:rsid w:val="00275E5C"/>
    <w:rsid w:val="0027657C"/>
    <w:rsid w:val="00277A1B"/>
    <w:rsid w:val="002802D2"/>
    <w:rsid w:val="002813CC"/>
    <w:rsid w:val="00281BDD"/>
    <w:rsid w:val="00282903"/>
    <w:rsid w:val="00282EF9"/>
    <w:rsid w:val="0028300F"/>
    <w:rsid w:val="002839D0"/>
    <w:rsid w:val="002844FE"/>
    <w:rsid w:val="0028529E"/>
    <w:rsid w:val="00286498"/>
    <w:rsid w:val="00286776"/>
    <w:rsid w:val="00286A43"/>
    <w:rsid w:val="002876B8"/>
    <w:rsid w:val="0028784F"/>
    <w:rsid w:val="00290500"/>
    <w:rsid w:val="00290A76"/>
    <w:rsid w:val="00290D50"/>
    <w:rsid w:val="0029229C"/>
    <w:rsid w:val="002929A2"/>
    <w:rsid w:val="00292AD6"/>
    <w:rsid w:val="00293175"/>
    <w:rsid w:val="002936E1"/>
    <w:rsid w:val="00293947"/>
    <w:rsid w:val="00293FB4"/>
    <w:rsid w:val="00294488"/>
    <w:rsid w:val="00294F1E"/>
    <w:rsid w:val="00295192"/>
    <w:rsid w:val="00295286"/>
    <w:rsid w:val="00295FDC"/>
    <w:rsid w:val="0029604E"/>
    <w:rsid w:val="002963BC"/>
    <w:rsid w:val="002971AF"/>
    <w:rsid w:val="002A04DB"/>
    <w:rsid w:val="002A05F8"/>
    <w:rsid w:val="002A0D42"/>
    <w:rsid w:val="002A0EE7"/>
    <w:rsid w:val="002A1DED"/>
    <w:rsid w:val="002A1ED7"/>
    <w:rsid w:val="002A2C81"/>
    <w:rsid w:val="002A3585"/>
    <w:rsid w:val="002A43DF"/>
    <w:rsid w:val="002A452E"/>
    <w:rsid w:val="002A5632"/>
    <w:rsid w:val="002A69F6"/>
    <w:rsid w:val="002A7176"/>
    <w:rsid w:val="002A7345"/>
    <w:rsid w:val="002A76C4"/>
    <w:rsid w:val="002A7912"/>
    <w:rsid w:val="002A7DDE"/>
    <w:rsid w:val="002B112B"/>
    <w:rsid w:val="002B190E"/>
    <w:rsid w:val="002B22CF"/>
    <w:rsid w:val="002B2343"/>
    <w:rsid w:val="002B2777"/>
    <w:rsid w:val="002B3175"/>
    <w:rsid w:val="002B4A7E"/>
    <w:rsid w:val="002B4DD9"/>
    <w:rsid w:val="002B6916"/>
    <w:rsid w:val="002B789A"/>
    <w:rsid w:val="002B7A47"/>
    <w:rsid w:val="002C1C83"/>
    <w:rsid w:val="002C293B"/>
    <w:rsid w:val="002C367E"/>
    <w:rsid w:val="002C4BFF"/>
    <w:rsid w:val="002C5979"/>
    <w:rsid w:val="002C6224"/>
    <w:rsid w:val="002C667B"/>
    <w:rsid w:val="002C764D"/>
    <w:rsid w:val="002C79F6"/>
    <w:rsid w:val="002C7E67"/>
    <w:rsid w:val="002C7F05"/>
    <w:rsid w:val="002D00D5"/>
    <w:rsid w:val="002D1241"/>
    <w:rsid w:val="002D302A"/>
    <w:rsid w:val="002D3260"/>
    <w:rsid w:val="002D3AF1"/>
    <w:rsid w:val="002D3EE5"/>
    <w:rsid w:val="002D545B"/>
    <w:rsid w:val="002D5F2D"/>
    <w:rsid w:val="002D6C59"/>
    <w:rsid w:val="002D72C0"/>
    <w:rsid w:val="002E0916"/>
    <w:rsid w:val="002E11ED"/>
    <w:rsid w:val="002E14C5"/>
    <w:rsid w:val="002E1618"/>
    <w:rsid w:val="002E335A"/>
    <w:rsid w:val="002E33CA"/>
    <w:rsid w:val="002E3913"/>
    <w:rsid w:val="002E3E9F"/>
    <w:rsid w:val="002E47E4"/>
    <w:rsid w:val="002E4F84"/>
    <w:rsid w:val="002E5373"/>
    <w:rsid w:val="002E5987"/>
    <w:rsid w:val="002E5E4E"/>
    <w:rsid w:val="002E668E"/>
    <w:rsid w:val="002E6E3E"/>
    <w:rsid w:val="002E792F"/>
    <w:rsid w:val="002F00A1"/>
    <w:rsid w:val="002F07E9"/>
    <w:rsid w:val="002F0EDC"/>
    <w:rsid w:val="002F1C37"/>
    <w:rsid w:val="002F3584"/>
    <w:rsid w:val="002F36B6"/>
    <w:rsid w:val="002F413F"/>
    <w:rsid w:val="002F42F3"/>
    <w:rsid w:val="002F5166"/>
    <w:rsid w:val="002F7604"/>
    <w:rsid w:val="002F7853"/>
    <w:rsid w:val="002F78BD"/>
    <w:rsid w:val="002F7CF4"/>
    <w:rsid w:val="003001CF"/>
    <w:rsid w:val="003009B7"/>
    <w:rsid w:val="003018F7"/>
    <w:rsid w:val="00301A7E"/>
    <w:rsid w:val="0030201F"/>
    <w:rsid w:val="00302648"/>
    <w:rsid w:val="003039C0"/>
    <w:rsid w:val="00303C6A"/>
    <w:rsid w:val="00304155"/>
    <w:rsid w:val="00306347"/>
    <w:rsid w:val="00306E1E"/>
    <w:rsid w:val="00307314"/>
    <w:rsid w:val="00307EB1"/>
    <w:rsid w:val="003102BA"/>
    <w:rsid w:val="00310668"/>
    <w:rsid w:val="0031242A"/>
    <w:rsid w:val="00312653"/>
    <w:rsid w:val="00312B2A"/>
    <w:rsid w:val="00313459"/>
    <w:rsid w:val="00314E9E"/>
    <w:rsid w:val="00315B60"/>
    <w:rsid w:val="00315C61"/>
    <w:rsid w:val="00315E67"/>
    <w:rsid w:val="003163AE"/>
    <w:rsid w:val="00316D18"/>
    <w:rsid w:val="0031771C"/>
    <w:rsid w:val="00317A16"/>
    <w:rsid w:val="00322F2B"/>
    <w:rsid w:val="00323594"/>
    <w:rsid w:val="003247B9"/>
    <w:rsid w:val="00325703"/>
    <w:rsid w:val="00325A30"/>
    <w:rsid w:val="003274C9"/>
    <w:rsid w:val="00327FAD"/>
    <w:rsid w:val="00330574"/>
    <w:rsid w:val="0033165C"/>
    <w:rsid w:val="003319E3"/>
    <w:rsid w:val="00331F3D"/>
    <w:rsid w:val="00332A67"/>
    <w:rsid w:val="003335F9"/>
    <w:rsid w:val="00333F1D"/>
    <w:rsid w:val="00336B22"/>
    <w:rsid w:val="00336BB1"/>
    <w:rsid w:val="00336D04"/>
    <w:rsid w:val="00336FE1"/>
    <w:rsid w:val="003378E9"/>
    <w:rsid w:val="00337FDB"/>
    <w:rsid w:val="0034039B"/>
    <w:rsid w:val="00340685"/>
    <w:rsid w:val="00340944"/>
    <w:rsid w:val="003422A9"/>
    <w:rsid w:val="003428AA"/>
    <w:rsid w:val="00342B1E"/>
    <w:rsid w:val="00342E65"/>
    <w:rsid w:val="003444CD"/>
    <w:rsid w:val="00344786"/>
    <w:rsid w:val="003449D0"/>
    <w:rsid w:val="00344BEE"/>
    <w:rsid w:val="00346317"/>
    <w:rsid w:val="00346C10"/>
    <w:rsid w:val="00350AC3"/>
    <w:rsid w:val="00350DEA"/>
    <w:rsid w:val="003527D7"/>
    <w:rsid w:val="003530C5"/>
    <w:rsid w:val="00353CB5"/>
    <w:rsid w:val="00354D09"/>
    <w:rsid w:val="00355240"/>
    <w:rsid w:val="00355648"/>
    <w:rsid w:val="00355772"/>
    <w:rsid w:val="00356DBA"/>
    <w:rsid w:val="003570D8"/>
    <w:rsid w:val="0035731D"/>
    <w:rsid w:val="003573FE"/>
    <w:rsid w:val="0035758C"/>
    <w:rsid w:val="00357D61"/>
    <w:rsid w:val="0036009E"/>
    <w:rsid w:val="00360684"/>
    <w:rsid w:val="00360E8E"/>
    <w:rsid w:val="003611A8"/>
    <w:rsid w:val="0036123E"/>
    <w:rsid w:val="00363066"/>
    <w:rsid w:val="00363265"/>
    <w:rsid w:val="003650BA"/>
    <w:rsid w:val="00365DFE"/>
    <w:rsid w:val="003666DE"/>
    <w:rsid w:val="0037033E"/>
    <w:rsid w:val="00370C10"/>
    <w:rsid w:val="00371B13"/>
    <w:rsid w:val="00372810"/>
    <w:rsid w:val="0037355E"/>
    <w:rsid w:val="00376382"/>
    <w:rsid w:val="003765C1"/>
    <w:rsid w:val="003769BA"/>
    <w:rsid w:val="003770C7"/>
    <w:rsid w:val="0037719B"/>
    <w:rsid w:val="0037760C"/>
    <w:rsid w:val="003776F4"/>
    <w:rsid w:val="00380387"/>
    <w:rsid w:val="00380BB0"/>
    <w:rsid w:val="00380D5A"/>
    <w:rsid w:val="00380EB5"/>
    <w:rsid w:val="0038166B"/>
    <w:rsid w:val="00381C60"/>
    <w:rsid w:val="0038208F"/>
    <w:rsid w:val="00382D3B"/>
    <w:rsid w:val="00383C93"/>
    <w:rsid w:val="00384420"/>
    <w:rsid w:val="0038564B"/>
    <w:rsid w:val="00385BF6"/>
    <w:rsid w:val="00386441"/>
    <w:rsid w:val="00386525"/>
    <w:rsid w:val="0038719C"/>
    <w:rsid w:val="00390286"/>
    <w:rsid w:val="003903E3"/>
    <w:rsid w:val="00390A3D"/>
    <w:rsid w:val="00390D7B"/>
    <w:rsid w:val="003913B2"/>
    <w:rsid w:val="003913F0"/>
    <w:rsid w:val="00392691"/>
    <w:rsid w:val="00392F1C"/>
    <w:rsid w:val="003932E4"/>
    <w:rsid w:val="003946EF"/>
    <w:rsid w:val="00394FA2"/>
    <w:rsid w:val="00395386"/>
    <w:rsid w:val="003958FD"/>
    <w:rsid w:val="00395F25"/>
    <w:rsid w:val="00397429"/>
    <w:rsid w:val="003A09FD"/>
    <w:rsid w:val="003A29DE"/>
    <w:rsid w:val="003A365E"/>
    <w:rsid w:val="003A3CA9"/>
    <w:rsid w:val="003A4168"/>
    <w:rsid w:val="003A5412"/>
    <w:rsid w:val="003A54DB"/>
    <w:rsid w:val="003A6062"/>
    <w:rsid w:val="003A6D3E"/>
    <w:rsid w:val="003A7B14"/>
    <w:rsid w:val="003A7F10"/>
    <w:rsid w:val="003B0E40"/>
    <w:rsid w:val="003B19D1"/>
    <w:rsid w:val="003B1F9E"/>
    <w:rsid w:val="003B3200"/>
    <w:rsid w:val="003B32E3"/>
    <w:rsid w:val="003B3D8A"/>
    <w:rsid w:val="003B42C6"/>
    <w:rsid w:val="003B4C88"/>
    <w:rsid w:val="003B4FE4"/>
    <w:rsid w:val="003B768E"/>
    <w:rsid w:val="003B7840"/>
    <w:rsid w:val="003B7CCB"/>
    <w:rsid w:val="003B7F20"/>
    <w:rsid w:val="003C0386"/>
    <w:rsid w:val="003C049C"/>
    <w:rsid w:val="003C0792"/>
    <w:rsid w:val="003C08FD"/>
    <w:rsid w:val="003C0A11"/>
    <w:rsid w:val="003C0DA0"/>
    <w:rsid w:val="003C1284"/>
    <w:rsid w:val="003C25C3"/>
    <w:rsid w:val="003C5B74"/>
    <w:rsid w:val="003C5DAC"/>
    <w:rsid w:val="003C730F"/>
    <w:rsid w:val="003D010F"/>
    <w:rsid w:val="003D3164"/>
    <w:rsid w:val="003D3543"/>
    <w:rsid w:val="003D3ABF"/>
    <w:rsid w:val="003D4EA3"/>
    <w:rsid w:val="003D5597"/>
    <w:rsid w:val="003D5CA0"/>
    <w:rsid w:val="003D6141"/>
    <w:rsid w:val="003D61DD"/>
    <w:rsid w:val="003D65E1"/>
    <w:rsid w:val="003D70D7"/>
    <w:rsid w:val="003D7775"/>
    <w:rsid w:val="003E0FD8"/>
    <w:rsid w:val="003E2B62"/>
    <w:rsid w:val="003E4469"/>
    <w:rsid w:val="003E766E"/>
    <w:rsid w:val="003E7F37"/>
    <w:rsid w:val="003F0225"/>
    <w:rsid w:val="003F0AA7"/>
    <w:rsid w:val="003F28E1"/>
    <w:rsid w:val="003F2B3D"/>
    <w:rsid w:val="003F3B4A"/>
    <w:rsid w:val="003F3D5B"/>
    <w:rsid w:val="003F4E5F"/>
    <w:rsid w:val="003F5E8A"/>
    <w:rsid w:val="003F7939"/>
    <w:rsid w:val="004002C1"/>
    <w:rsid w:val="0040141A"/>
    <w:rsid w:val="00401638"/>
    <w:rsid w:val="00401F1C"/>
    <w:rsid w:val="00401FD1"/>
    <w:rsid w:val="004024F5"/>
    <w:rsid w:val="004035F1"/>
    <w:rsid w:val="0040452C"/>
    <w:rsid w:val="0040525B"/>
    <w:rsid w:val="0040566F"/>
    <w:rsid w:val="00406782"/>
    <w:rsid w:val="00407B6E"/>
    <w:rsid w:val="004100DD"/>
    <w:rsid w:val="00410789"/>
    <w:rsid w:val="00411D13"/>
    <w:rsid w:val="00412AF6"/>
    <w:rsid w:val="00412BB8"/>
    <w:rsid w:val="004148F8"/>
    <w:rsid w:val="00414CD6"/>
    <w:rsid w:val="004151DE"/>
    <w:rsid w:val="0041595F"/>
    <w:rsid w:val="00415A2B"/>
    <w:rsid w:val="00415B16"/>
    <w:rsid w:val="00416796"/>
    <w:rsid w:val="00416C1B"/>
    <w:rsid w:val="00416E30"/>
    <w:rsid w:val="004171DD"/>
    <w:rsid w:val="00420CBC"/>
    <w:rsid w:val="004213CC"/>
    <w:rsid w:val="004219C4"/>
    <w:rsid w:val="00422B22"/>
    <w:rsid w:val="00422ED4"/>
    <w:rsid w:val="0042331F"/>
    <w:rsid w:val="004242A4"/>
    <w:rsid w:val="00424E06"/>
    <w:rsid w:val="0042580B"/>
    <w:rsid w:val="00426909"/>
    <w:rsid w:val="00426D21"/>
    <w:rsid w:val="00427023"/>
    <w:rsid w:val="004271EF"/>
    <w:rsid w:val="00430559"/>
    <w:rsid w:val="004320CB"/>
    <w:rsid w:val="00432138"/>
    <w:rsid w:val="00432546"/>
    <w:rsid w:val="00432DDA"/>
    <w:rsid w:val="004335E0"/>
    <w:rsid w:val="00433CAD"/>
    <w:rsid w:val="00436132"/>
    <w:rsid w:val="00436211"/>
    <w:rsid w:val="0043661F"/>
    <w:rsid w:val="004379C3"/>
    <w:rsid w:val="0044037B"/>
    <w:rsid w:val="00441FA2"/>
    <w:rsid w:val="004422E1"/>
    <w:rsid w:val="00442BEA"/>
    <w:rsid w:val="00443134"/>
    <w:rsid w:val="00443407"/>
    <w:rsid w:val="00445159"/>
    <w:rsid w:val="00446F3A"/>
    <w:rsid w:val="00451491"/>
    <w:rsid w:val="00452360"/>
    <w:rsid w:val="00452A7D"/>
    <w:rsid w:val="0045545E"/>
    <w:rsid w:val="00455972"/>
    <w:rsid w:val="004563B2"/>
    <w:rsid w:val="00456993"/>
    <w:rsid w:val="00456F24"/>
    <w:rsid w:val="00456FE6"/>
    <w:rsid w:val="00460C29"/>
    <w:rsid w:val="004648E5"/>
    <w:rsid w:val="00466CDC"/>
    <w:rsid w:val="00466D22"/>
    <w:rsid w:val="004670BA"/>
    <w:rsid w:val="004672B0"/>
    <w:rsid w:val="0047035B"/>
    <w:rsid w:val="00470463"/>
    <w:rsid w:val="004707C9"/>
    <w:rsid w:val="00472AA6"/>
    <w:rsid w:val="004730AE"/>
    <w:rsid w:val="004735E9"/>
    <w:rsid w:val="00473DA3"/>
    <w:rsid w:val="00474D30"/>
    <w:rsid w:val="00474F2E"/>
    <w:rsid w:val="004756FE"/>
    <w:rsid w:val="004757BD"/>
    <w:rsid w:val="004757F9"/>
    <w:rsid w:val="00475856"/>
    <w:rsid w:val="004758EF"/>
    <w:rsid w:val="00475D23"/>
    <w:rsid w:val="0047618E"/>
    <w:rsid w:val="0047687C"/>
    <w:rsid w:val="00476FEC"/>
    <w:rsid w:val="00480ADB"/>
    <w:rsid w:val="004813F7"/>
    <w:rsid w:val="00482441"/>
    <w:rsid w:val="0048479F"/>
    <w:rsid w:val="00484A69"/>
    <w:rsid w:val="00484B53"/>
    <w:rsid w:val="004853DF"/>
    <w:rsid w:val="0048562D"/>
    <w:rsid w:val="00485A1A"/>
    <w:rsid w:val="00486113"/>
    <w:rsid w:val="00486B4A"/>
    <w:rsid w:val="00486C96"/>
    <w:rsid w:val="0048721A"/>
    <w:rsid w:val="00487395"/>
    <w:rsid w:val="00487656"/>
    <w:rsid w:val="00490890"/>
    <w:rsid w:val="004918FD"/>
    <w:rsid w:val="00493354"/>
    <w:rsid w:val="00493378"/>
    <w:rsid w:val="0049364D"/>
    <w:rsid w:val="00493A13"/>
    <w:rsid w:val="0049578F"/>
    <w:rsid w:val="0049699F"/>
    <w:rsid w:val="00497655"/>
    <w:rsid w:val="004A1974"/>
    <w:rsid w:val="004A19AC"/>
    <w:rsid w:val="004A1B93"/>
    <w:rsid w:val="004A22B3"/>
    <w:rsid w:val="004A276A"/>
    <w:rsid w:val="004A27F8"/>
    <w:rsid w:val="004A3298"/>
    <w:rsid w:val="004A4E91"/>
    <w:rsid w:val="004A5289"/>
    <w:rsid w:val="004A55B2"/>
    <w:rsid w:val="004A55BD"/>
    <w:rsid w:val="004A560E"/>
    <w:rsid w:val="004A599B"/>
    <w:rsid w:val="004A5A3E"/>
    <w:rsid w:val="004A621C"/>
    <w:rsid w:val="004B00B2"/>
    <w:rsid w:val="004B034D"/>
    <w:rsid w:val="004B05C2"/>
    <w:rsid w:val="004B1AA9"/>
    <w:rsid w:val="004B1AE8"/>
    <w:rsid w:val="004B22A6"/>
    <w:rsid w:val="004B2A16"/>
    <w:rsid w:val="004B353B"/>
    <w:rsid w:val="004B4475"/>
    <w:rsid w:val="004B4E0A"/>
    <w:rsid w:val="004B6068"/>
    <w:rsid w:val="004B77ED"/>
    <w:rsid w:val="004B7E46"/>
    <w:rsid w:val="004C0476"/>
    <w:rsid w:val="004C1BB7"/>
    <w:rsid w:val="004C2358"/>
    <w:rsid w:val="004C41E9"/>
    <w:rsid w:val="004C5E9A"/>
    <w:rsid w:val="004C602E"/>
    <w:rsid w:val="004C6C3F"/>
    <w:rsid w:val="004D0001"/>
    <w:rsid w:val="004D025E"/>
    <w:rsid w:val="004D05A4"/>
    <w:rsid w:val="004D09D6"/>
    <w:rsid w:val="004D0C1A"/>
    <w:rsid w:val="004D0F39"/>
    <w:rsid w:val="004D18AB"/>
    <w:rsid w:val="004D2B5A"/>
    <w:rsid w:val="004D2FAE"/>
    <w:rsid w:val="004D37D9"/>
    <w:rsid w:val="004D4212"/>
    <w:rsid w:val="004D467C"/>
    <w:rsid w:val="004D51FD"/>
    <w:rsid w:val="004D53E2"/>
    <w:rsid w:val="004D6868"/>
    <w:rsid w:val="004E045E"/>
    <w:rsid w:val="004E076B"/>
    <w:rsid w:val="004E18E9"/>
    <w:rsid w:val="004E1ADC"/>
    <w:rsid w:val="004E1AF8"/>
    <w:rsid w:val="004E2003"/>
    <w:rsid w:val="004E2CD2"/>
    <w:rsid w:val="004E2FC9"/>
    <w:rsid w:val="004E34B5"/>
    <w:rsid w:val="004E4451"/>
    <w:rsid w:val="004E47CF"/>
    <w:rsid w:val="004E48CE"/>
    <w:rsid w:val="004E4AB6"/>
    <w:rsid w:val="004E4ACC"/>
    <w:rsid w:val="004E5B19"/>
    <w:rsid w:val="004E5EBE"/>
    <w:rsid w:val="004E6476"/>
    <w:rsid w:val="004E6492"/>
    <w:rsid w:val="004E6682"/>
    <w:rsid w:val="004F02D6"/>
    <w:rsid w:val="004F1785"/>
    <w:rsid w:val="004F2EF7"/>
    <w:rsid w:val="004F48D6"/>
    <w:rsid w:val="004F4E03"/>
    <w:rsid w:val="004F4E3A"/>
    <w:rsid w:val="004F4E6A"/>
    <w:rsid w:val="004F632C"/>
    <w:rsid w:val="004F7886"/>
    <w:rsid w:val="004F7D23"/>
    <w:rsid w:val="0050091E"/>
    <w:rsid w:val="0050163C"/>
    <w:rsid w:val="00501FED"/>
    <w:rsid w:val="0050385F"/>
    <w:rsid w:val="00503AF5"/>
    <w:rsid w:val="0050495F"/>
    <w:rsid w:val="00504BAE"/>
    <w:rsid w:val="00504D06"/>
    <w:rsid w:val="00505CF1"/>
    <w:rsid w:val="00506344"/>
    <w:rsid w:val="005063E2"/>
    <w:rsid w:val="005075C4"/>
    <w:rsid w:val="005100FB"/>
    <w:rsid w:val="00511CF8"/>
    <w:rsid w:val="00512F3A"/>
    <w:rsid w:val="00513E11"/>
    <w:rsid w:val="00514BBF"/>
    <w:rsid w:val="00514EC6"/>
    <w:rsid w:val="005176AE"/>
    <w:rsid w:val="00517738"/>
    <w:rsid w:val="00517C76"/>
    <w:rsid w:val="00520997"/>
    <w:rsid w:val="00520E66"/>
    <w:rsid w:val="00521D36"/>
    <w:rsid w:val="005232C4"/>
    <w:rsid w:val="00523D39"/>
    <w:rsid w:val="00525073"/>
    <w:rsid w:val="0052522F"/>
    <w:rsid w:val="00525F8A"/>
    <w:rsid w:val="00526832"/>
    <w:rsid w:val="00527BE2"/>
    <w:rsid w:val="00527C67"/>
    <w:rsid w:val="005318F1"/>
    <w:rsid w:val="005334EF"/>
    <w:rsid w:val="0053391F"/>
    <w:rsid w:val="0053488A"/>
    <w:rsid w:val="00534AB0"/>
    <w:rsid w:val="005355AE"/>
    <w:rsid w:val="00536317"/>
    <w:rsid w:val="00536B2D"/>
    <w:rsid w:val="005434B9"/>
    <w:rsid w:val="00544048"/>
    <w:rsid w:val="0054409A"/>
    <w:rsid w:val="005456BB"/>
    <w:rsid w:val="005465D8"/>
    <w:rsid w:val="00546DFB"/>
    <w:rsid w:val="00550148"/>
    <w:rsid w:val="00551805"/>
    <w:rsid w:val="00552ABE"/>
    <w:rsid w:val="00553517"/>
    <w:rsid w:val="005537DE"/>
    <w:rsid w:val="005550A0"/>
    <w:rsid w:val="0055528E"/>
    <w:rsid w:val="00555808"/>
    <w:rsid w:val="00555C9A"/>
    <w:rsid w:val="005571B8"/>
    <w:rsid w:val="005574C5"/>
    <w:rsid w:val="005614E1"/>
    <w:rsid w:val="00561C11"/>
    <w:rsid w:val="00562800"/>
    <w:rsid w:val="00563159"/>
    <w:rsid w:val="005633B2"/>
    <w:rsid w:val="00563548"/>
    <w:rsid w:val="005645AA"/>
    <w:rsid w:val="005649E3"/>
    <w:rsid w:val="00564F93"/>
    <w:rsid w:val="00566C60"/>
    <w:rsid w:val="005674C4"/>
    <w:rsid w:val="00567AB2"/>
    <w:rsid w:val="00567E35"/>
    <w:rsid w:val="00567E6D"/>
    <w:rsid w:val="0057067B"/>
    <w:rsid w:val="005706C1"/>
    <w:rsid w:val="00570ECA"/>
    <w:rsid w:val="00571437"/>
    <w:rsid w:val="00571962"/>
    <w:rsid w:val="005720C3"/>
    <w:rsid w:val="00572219"/>
    <w:rsid w:val="005726F7"/>
    <w:rsid w:val="0057299E"/>
    <w:rsid w:val="0057311A"/>
    <w:rsid w:val="005735B2"/>
    <w:rsid w:val="00573A71"/>
    <w:rsid w:val="005755E0"/>
    <w:rsid w:val="00575FE2"/>
    <w:rsid w:val="005768BB"/>
    <w:rsid w:val="005768CC"/>
    <w:rsid w:val="00576B02"/>
    <w:rsid w:val="00576BF2"/>
    <w:rsid w:val="00576C03"/>
    <w:rsid w:val="00577FBF"/>
    <w:rsid w:val="005804AA"/>
    <w:rsid w:val="0058062E"/>
    <w:rsid w:val="0058079C"/>
    <w:rsid w:val="005813FC"/>
    <w:rsid w:val="00582E9D"/>
    <w:rsid w:val="00584AFF"/>
    <w:rsid w:val="00585948"/>
    <w:rsid w:val="00586EDE"/>
    <w:rsid w:val="00586EE6"/>
    <w:rsid w:val="00587826"/>
    <w:rsid w:val="00587BF5"/>
    <w:rsid w:val="00590A58"/>
    <w:rsid w:val="00590FF3"/>
    <w:rsid w:val="00591049"/>
    <w:rsid w:val="00591BE5"/>
    <w:rsid w:val="0059296C"/>
    <w:rsid w:val="005929C5"/>
    <w:rsid w:val="005935FE"/>
    <w:rsid w:val="00593B26"/>
    <w:rsid w:val="00594305"/>
    <w:rsid w:val="005948BB"/>
    <w:rsid w:val="00594943"/>
    <w:rsid w:val="00594FC3"/>
    <w:rsid w:val="00595909"/>
    <w:rsid w:val="00595EB6"/>
    <w:rsid w:val="00596392"/>
    <w:rsid w:val="005969E7"/>
    <w:rsid w:val="005977F2"/>
    <w:rsid w:val="005A047D"/>
    <w:rsid w:val="005A12EE"/>
    <w:rsid w:val="005A188A"/>
    <w:rsid w:val="005A1AB2"/>
    <w:rsid w:val="005A36D7"/>
    <w:rsid w:val="005A3F8B"/>
    <w:rsid w:val="005A458E"/>
    <w:rsid w:val="005A64BB"/>
    <w:rsid w:val="005A64F6"/>
    <w:rsid w:val="005A6F43"/>
    <w:rsid w:val="005A7DE1"/>
    <w:rsid w:val="005A7FF6"/>
    <w:rsid w:val="005B030E"/>
    <w:rsid w:val="005B04C3"/>
    <w:rsid w:val="005B0E4B"/>
    <w:rsid w:val="005B1590"/>
    <w:rsid w:val="005B1BF3"/>
    <w:rsid w:val="005B1C33"/>
    <w:rsid w:val="005B1FEB"/>
    <w:rsid w:val="005B2C85"/>
    <w:rsid w:val="005B2CD4"/>
    <w:rsid w:val="005B3681"/>
    <w:rsid w:val="005B565A"/>
    <w:rsid w:val="005B7102"/>
    <w:rsid w:val="005B7B9C"/>
    <w:rsid w:val="005C0ADA"/>
    <w:rsid w:val="005C176B"/>
    <w:rsid w:val="005C1ED2"/>
    <w:rsid w:val="005C31F3"/>
    <w:rsid w:val="005C361D"/>
    <w:rsid w:val="005C3DA5"/>
    <w:rsid w:val="005C49D9"/>
    <w:rsid w:val="005C5515"/>
    <w:rsid w:val="005C6ACB"/>
    <w:rsid w:val="005C771F"/>
    <w:rsid w:val="005D06DD"/>
    <w:rsid w:val="005D0710"/>
    <w:rsid w:val="005D0B0E"/>
    <w:rsid w:val="005D0CC6"/>
    <w:rsid w:val="005D14F4"/>
    <w:rsid w:val="005D765C"/>
    <w:rsid w:val="005D7666"/>
    <w:rsid w:val="005D78D1"/>
    <w:rsid w:val="005E0117"/>
    <w:rsid w:val="005E03D7"/>
    <w:rsid w:val="005E062E"/>
    <w:rsid w:val="005E0BBE"/>
    <w:rsid w:val="005E13FA"/>
    <w:rsid w:val="005E2129"/>
    <w:rsid w:val="005E49F0"/>
    <w:rsid w:val="005E4D94"/>
    <w:rsid w:val="005E7FA4"/>
    <w:rsid w:val="005F01D9"/>
    <w:rsid w:val="005F19AA"/>
    <w:rsid w:val="005F2103"/>
    <w:rsid w:val="005F2796"/>
    <w:rsid w:val="005F3016"/>
    <w:rsid w:val="005F3FF9"/>
    <w:rsid w:val="005F4EF1"/>
    <w:rsid w:val="005F6171"/>
    <w:rsid w:val="005F6E37"/>
    <w:rsid w:val="005F7336"/>
    <w:rsid w:val="005F7C32"/>
    <w:rsid w:val="00601AEE"/>
    <w:rsid w:val="00603333"/>
    <w:rsid w:val="0060368B"/>
    <w:rsid w:val="00605361"/>
    <w:rsid w:val="006053FD"/>
    <w:rsid w:val="006064B7"/>
    <w:rsid w:val="00606B42"/>
    <w:rsid w:val="00607B3F"/>
    <w:rsid w:val="006102FB"/>
    <w:rsid w:val="00610419"/>
    <w:rsid w:val="00610F49"/>
    <w:rsid w:val="00611EEE"/>
    <w:rsid w:val="00612373"/>
    <w:rsid w:val="0061431E"/>
    <w:rsid w:val="006151A4"/>
    <w:rsid w:val="00615CA2"/>
    <w:rsid w:val="00615F0D"/>
    <w:rsid w:val="0061603A"/>
    <w:rsid w:val="006162DD"/>
    <w:rsid w:val="00616B00"/>
    <w:rsid w:val="00617191"/>
    <w:rsid w:val="00617BDC"/>
    <w:rsid w:val="00617CF7"/>
    <w:rsid w:val="006203E9"/>
    <w:rsid w:val="00620BC8"/>
    <w:rsid w:val="00620BE3"/>
    <w:rsid w:val="00621730"/>
    <w:rsid w:val="0062197C"/>
    <w:rsid w:val="006224D6"/>
    <w:rsid w:val="0062280C"/>
    <w:rsid w:val="00622B29"/>
    <w:rsid w:val="00623035"/>
    <w:rsid w:val="006230A9"/>
    <w:rsid w:val="006231AB"/>
    <w:rsid w:val="006233EE"/>
    <w:rsid w:val="00625189"/>
    <w:rsid w:val="0062542F"/>
    <w:rsid w:val="00625CD0"/>
    <w:rsid w:val="006265EB"/>
    <w:rsid w:val="00626A6C"/>
    <w:rsid w:val="0062703C"/>
    <w:rsid w:val="006275AA"/>
    <w:rsid w:val="006279B7"/>
    <w:rsid w:val="00630760"/>
    <w:rsid w:val="00630F1B"/>
    <w:rsid w:val="00631B43"/>
    <w:rsid w:val="00631F47"/>
    <w:rsid w:val="00631FFA"/>
    <w:rsid w:val="00634280"/>
    <w:rsid w:val="00636583"/>
    <w:rsid w:val="00637C6E"/>
    <w:rsid w:val="00637E81"/>
    <w:rsid w:val="006400EF"/>
    <w:rsid w:val="0064028A"/>
    <w:rsid w:val="00640368"/>
    <w:rsid w:val="00640E01"/>
    <w:rsid w:val="00640FC0"/>
    <w:rsid w:val="00641C93"/>
    <w:rsid w:val="00642FD9"/>
    <w:rsid w:val="00643053"/>
    <w:rsid w:val="0064331A"/>
    <w:rsid w:val="0064386F"/>
    <w:rsid w:val="0064596F"/>
    <w:rsid w:val="00645C62"/>
    <w:rsid w:val="006461FA"/>
    <w:rsid w:val="00646FA8"/>
    <w:rsid w:val="00647779"/>
    <w:rsid w:val="00647FEE"/>
    <w:rsid w:val="006507D1"/>
    <w:rsid w:val="00650A70"/>
    <w:rsid w:val="00651F15"/>
    <w:rsid w:val="00652324"/>
    <w:rsid w:val="006526DA"/>
    <w:rsid w:val="0065307F"/>
    <w:rsid w:val="00655937"/>
    <w:rsid w:val="00655BFB"/>
    <w:rsid w:val="00655D60"/>
    <w:rsid w:val="006568D4"/>
    <w:rsid w:val="00657608"/>
    <w:rsid w:val="0066022F"/>
    <w:rsid w:val="00660332"/>
    <w:rsid w:val="0066095C"/>
    <w:rsid w:val="00662C3F"/>
    <w:rsid w:val="00662F59"/>
    <w:rsid w:val="00663278"/>
    <w:rsid w:val="0066333B"/>
    <w:rsid w:val="006637B3"/>
    <w:rsid w:val="0066401D"/>
    <w:rsid w:val="00664940"/>
    <w:rsid w:val="00665338"/>
    <w:rsid w:val="0066777D"/>
    <w:rsid w:val="00667E62"/>
    <w:rsid w:val="0067175B"/>
    <w:rsid w:val="006718B7"/>
    <w:rsid w:val="00671E14"/>
    <w:rsid w:val="006734B4"/>
    <w:rsid w:val="006742BF"/>
    <w:rsid w:val="00674AF6"/>
    <w:rsid w:val="00674BB3"/>
    <w:rsid w:val="00674C3A"/>
    <w:rsid w:val="00674F34"/>
    <w:rsid w:val="0067575D"/>
    <w:rsid w:val="00675D6F"/>
    <w:rsid w:val="00677100"/>
    <w:rsid w:val="00677312"/>
    <w:rsid w:val="00677696"/>
    <w:rsid w:val="00677A09"/>
    <w:rsid w:val="00680191"/>
    <w:rsid w:val="006812CB"/>
    <w:rsid w:val="006813F4"/>
    <w:rsid w:val="0068243F"/>
    <w:rsid w:val="00682F4B"/>
    <w:rsid w:val="00683589"/>
    <w:rsid w:val="00684EC2"/>
    <w:rsid w:val="00685C1D"/>
    <w:rsid w:val="00686444"/>
    <w:rsid w:val="006867D0"/>
    <w:rsid w:val="00687CBB"/>
    <w:rsid w:val="006903CA"/>
    <w:rsid w:val="00690917"/>
    <w:rsid w:val="00690DB1"/>
    <w:rsid w:val="006912AB"/>
    <w:rsid w:val="00691B42"/>
    <w:rsid w:val="006922BB"/>
    <w:rsid w:val="0069294B"/>
    <w:rsid w:val="00692CA2"/>
    <w:rsid w:val="00695AF1"/>
    <w:rsid w:val="00696160"/>
    <w:rsid w:val="00697B60"/>
    <w:rsid w:val="006A0687"/>
    <w:rsid w:val="006A2A41"/>
    <w:rsid w:val="006A37F9"/>
    <w:rsid w:val="006A50A2"/>
    <w:rsid w:val="006A5983"/>
    <w:rsid w:val="006A5CAE"/>
    <w:rsid w:val="006A6056"/>
    <w:rsid w:val="006A608B"/>
    <w:rsid w:val="006A6781"/>
    <w:rsid w:val="006A72DD"/>
    <w:rsid w:val="006A74A3"/>
    <w:rsid w:val="006A759A"/>
    <w:rsid w:val="006A7719"/>
    <w:rsid w:val="006A7E39"/>
    <w:rsid w:val="006A7E8E"/>
    <w:rsid w:val="006B01A6"/>
    <w:rsid w:val="006B0914"/>
    <w:rsid w:val="006B09C7"/>
    <w:rsid w:val="006B0CB0"/>
    <w:rsid w:val="006B2BBC"/>
    <w:rsid w:val="006B2D31"/>
    <w:rsid w:val="006B3BF1"/>
    <w:rsid w:val="006B3DE1"/>
    <w:rsid w:val="006B402B"/>
    <w:rsid w:val="006B40B7"/>
    <w:rsid w:val="006B42D1"/>
    <w:rsid w:val="006B52BB"/>
    <w:rsid w:val="006B651E"/>
    <w:rsid w:val="006B678E"/>
    <w:rsid w:val="006B6AFB"/>
    <w:rsid w:val="006B7A32"/>
    <w:rsid w:val="006C10DA"/>
    <w:rsid w:val="006C36C2"/>
    <w:rsid w:val="006C4D8E"/>
    <w:rsid w:val="006C6213"/>
    <w:rsid w:val="006C6BAD"/>
    <w:rsid w:val="006C6C44"/>
    <w:rsid w:val="006C7961"/>
    <w:rsid w:val="006D0BE1"/>
    <w:rsid w:val="006D1279"/>
    <w:rsid w:val="006D1936"/>
    <w:rsid w:val="006D210F"/>
    <w:rsid w:val="006D2A94"/>
    <w:rsid w:val="006D2D2B"/>
    <w:rsid w:val="006D2EB8"/>
    <w:rsid w:val="006D3240"/>
    <w:rsid w:val="006D3E0D"/>
    <w:rsid w:val="006D3F6E"/>
    <w:rsid w:val="006D3FE7"/>
    <w:rsid w:val="006D4CBB"/>
    <w:rsid w:val="006D5AC8"/>
    <w:rsid w:val="006D6265"/>
    <w:rsid w:val="006D6985"/>
    <w:rsid w:val="006D7E39"/>
    <w:rsid w:val="006E35BD"/>
    <w:rsid w:val="006E3745"/>
    <w:rsid w:val="006E4223"/>
    <w:rsid w:val="006E4E90"/>
    <w:rsid w:val="006E6351"/>
    <w:rsid w:val="006E644B"/>
    <w:rsid w:val="006E65FF"/>
    <w:rsid w:val="006E6873"/>
    <w:rsid w:val="006E6DF8"/>
    <w:rsid w:val="006E75A6"/>
    <w:rsid w:val="006E794F"/>
    <w:rsid w:val="006F032B"/>
    <w:rsid w:val="006F0ECC"/>
    <w:rsid w:val="006F1165"/>
    <w:rsid w:val="006F2093"/>
    <w:rsid w:val="006F229B"/>
    <w:rsid w:val="006F292D"/>
    <w:rsid w:val="006F42C2"/>
    <w:rsid w:val="006F5B19"/>
    <w:rsid w:val="006F6D6B"/>
    <w:rsid w:val="007008A9"/>
    <w:rsid w:val="00700DB7"/>
    <w:rsid w:val="00701690"/>
    <w:rsid w:val="0070368B"/>
    <w:rsid w:val="00705276"/>
    <w:rsid w:val="00706704"/>
    <w:rsid w:val="007069BB"/>
    <w:rsid w:val="00710753"/>
    <w:rsid w:val="00710A02"/>
    <w:rsid w:val="00711FF0"/>
    <w:rsid w:val="00712141"/>
    <w:rsid w:val="00712B09"/>
    <w:rsid w:val="007144F4"/>
    <w:rsid w:val="007145EA"/>
    <w:rsid w:val="007158F6"/>
    <w:rsid w:val="007164B9"/>
    <w:rsid w:val="007164FB"/>
    <w:rsid w:val="00716629"/>
    <w:rsid w:val="00717593"/>
    <w:rsid w:val="00717ABF"/>
    <w:rsid w:val="00721D23"/>
    <w:rsid w:val="00721FD5"/>
    <w:rsid w:val="0072376D"/>
    <w:rsid w:val="0072529B"/>
    <w:rsid w:val="00725DC6"/>
    <w:rsid w:val="00725E29"/>
    <w:rsid w:val="007260CA"/>
    <w:rsid w:val="007303B8"/>
    <w:rsid w:val="00730440"/>
    <w:rsid w:val="00731CC4"/>
    <w:rsid w:val="00733008"/>
    <w:rsid w:val="007331B1"/>
    <w:rsid w:val="007332DE"/>
    <w:rsid w:val="007349A0"/>
    <w:rsid w:val="00737AE4"/>
    <w:rsid w:val="007404CB"/>
    <w:rsid w:val="00740729"/>
    <w:rsid w:val="00740AAD"/>
    <w:rsid w:val="00741B89"/>
    <w:rsid w:val="00742385"/>
    <w:rsid w:val="00742E67"/>
    <w:rsid w:val="00743934"/>
    <w:rsid w:val="00744719"/>
    <w:rsid w:val="00744E95"/>
    <w:rsid w:val="00745ADA"/>
    <w:rsid w:val="00746629"/>
    <w:rsid w:val="00747577"/>
    <w:rsid w:val="00747977"/>
    <w:rsid w:val="00751033"/>
    <w:rsid w:val="007517B2"/>
    <w:rsid w:val="0075193E"/>
    <w:rsid w:val="00752483"/>
    <w:rsid w:val="007527F6"/>
    <w:rsid w:val="007534DB"/>
    <w:rsid w:val="00753CF7"/>
    <w:rsid w:val="0075412C"/>
    <w:rsid w:val="00754ECE"/>
    <w:rsid w:val="00755201"/>
    <w:rsid w:val="00755A6E"/>
    <w:rsid w:val="00755B7D"/>
    <w:rsid w:val="00755CED"/>
    <w:rsid w:val="00757405"/>
    <w:rsid w:val="007574EA"/>
    <w:rsid w:val="00760E60"/>
    <w:rsid w:val="00760F97"/>
    <w:rsid w:val="0076159F"/>
    <w:rsid w:val="0076190E"/>
    <w:rsid w:val="00761BBC"/>
    <w:rsid w:val="00764F3C"/>
    <w:rsid w:val="007665DB"/>
    <w:rsid w:val="00766BBE"/>
    <w:rsid w:val="00766CE9"/>
    <w:rsid w:val="007677D5"/>
    <w:rsid w:val="00770058"/>
    <w:rsid w:val="00770632"/>
    <w:rsid w:val="00770B22"/>
    <w:rsid w:val="0077352A"/>
    <w:rsid w:val="00773980"/>
    <w:rsid w:val="007741CD"/>
    <w:rsid w:val="00774744"/>
    <w:rsid w:val="00774A71"/>
    <w:rsid w:val="00774FF8"/>
    <w:rsid w:val="00775048"/>
    <w:rsid w:val="00775108"/>
    <w:rsid w:val="00775F80"/>
    <w:rsid w:val="00775F81"/>
    <w:rsid w:val="00776D0E"/>
    <w:rsid w:val="0077735B"/>
    <w:rsid w:val="00777723"/>
    <w:rsid w:val="0078104D"/>
    <w:rsid w:val="00782435"/>
    <w:rsid w:val="00782A04"/>
    <w:rsid w:val="00783418"/>
    <w:rsid w:val="007835AD"/>
    <w:rsid w:val="007839B0"/>
    <w:rsid w:val="00784014"/>
    <w:rsid w:val="007861C4"/>
    <w:rsid w:val="007861CA"/>
    <w:rsid w:val="00787B1F"/>
    <w:rsid w:val="00787E15"/>
    <w:rsid w:val="00790658"/>
    <w:rsid w:val="00790760"/>
    <w:rsid w:val="007916DF"/>
    <w:rsid w:val="0079195B"/>
    <w:rsid w:val="007919A3"/>
    <w:rsid w:val="00791C06"/>
    <w:rsid w:val="0079220B"/>
    <w:rsid w:val="007937E0"/>
    <w:rsid w:val="00794873"/>
    <w:rsid w:val="0079556B"/>
    <w:rsid w:val="007959AF"/>
    <w:rsid w:val="00796335"/>
    <w:rsid w:val="007972AD"/>
    <w:rsid w:val="00797407"/>
    <w:rsid w:val="00797771"/>
    <w:rsid w:val="0079786B"/>
    <w:rsid w:val="007A00C5"/>
    <w:rsid w:val="007A0D21"/>
    <w:rsid w:val="007A0E2B"/>
    <w:rsid w:val="007A0E67"/>
    <w:rsid w:val="007A12A1"/>
    <w:rsid w:val="007A19D1"/>
    <w:rsid w:val="007A1B95"/>
    <w:rsid w:val="007A21AD"/>
    <w:rsid w:val="007A243D"/>
    <w:rsid w:val="007A2811"/>
    <w:rsid w:val="007A3691"/>
    <w:rsid w:val="007A46C8"/>
    <w:rsid w:val="007A493E"/>
    <w:rsid w:val="007A4D7E"/>
    <w:rsid w:val="007A5EBA"/>
    <w:rsid w:val="007A61AE"/>
    <w:rsid w:val="007A6481"/>
    <w:rsid w:val="007A6CE0"/>
    <w:rsid w:val="007A73F1"/>
    <w:rsid w:val="007A7771"/>
    <w:rsid w:val="007A7B33"/>
    <w:rsid w:val="007A7E11"/>
    <w:rsid w:val="007B0A9C"/>
    <w:rsid w:val="007B11D9"/>
    <w:rsid w:val="007B174C"/>
    <w:rsid w:val="007B1B89"/>
    <w:rsid w:val="007B1F4F"/>
    <w:rsid w:val="007B244B"/>
    <w:rsid w:val="007B26B9"/>
    <w:rsid w:val="007B3344"/>
    <w:rsid w:val="007B3E52"/>
    <w:rsid w:val="007B407E"/>
    <w:rsid w:val="007B4F58"/>
    <w:rsid w:val="007B5E4D"/>
    <w:rsid w:val="007B7438"/>
    <w:rsid w:val="007C08D3"/>
    <w:rsid w:val="007C1885"/>
    <w:rsid w:val="007C1BA0"/>
    <w:rsid w:val="007C1C0A"/>
    <w:rsid w:val="007C1C5A"/>
    <w:rsid w:val="007C1F49"/>
    <w:rsid w:val="007C2093"/>
    <w:rsid w:val="007C266D"/>
    <w:rsid w:val="007C3278"/>
    <w:rsid w:val="007C3A3B"/>
    <w:rsid w:val="007C41E1"/>
    <w:rsid w:val="007C4A27"/>
    <w:rsid w:val="007C574D"/>
    <w:rsid w:val="007C5876"/>
    <w:rsid w:val="007C59F3"/>
    <w:rsid w:val="007C63C4"/>
    <w:rsid w:val="007C67A8"/>
    <w:rsid w:val="007C6A57"/>
    <w:rsid w:val="007D0567"/>
    <w:rsid w:val="007D0BDF"/>
    <w:rsid w:val="007D12FB"/>
    <w:rsid w:val="007D16AC"/>
    <w:rsid w:val="007D3F72"/>
    <w:rsid w:val="007D4241"/>
    <w:rsid w:val="007D493E"/>
    <w:rsid w:val="007D49BB"/>
    <w:rsid w:val="007D50E5"/>
    <w:rsid w:val="007D5AE9"/>
    <w:rsid w:val="007D60CD"/>
    <w:rsid w:val="007D75B5"/>
    <w:rsid w:val="007D7A70"/>
    <w:rsid w:val="007E001F"/>
    <w:rsid w:val="007E01E1"/>
    <w:rsid w:val="007E04A2"/>
    <w:rsid w:val="007E0DD6"/>
    <w:rsid w:val="007E1F20"/>
    <w:rsid w:val="007E25A3"/>
    <w:rsid w:val="007E2840"/>
    <w:rsid w:val="007E3552"/>
    <w:rsid w:val="007E465D"/>
    <w:rsid w:val="007E4AD3"/>
    <w:rsid w:val="007E689F"/>
    <w:rsid w:val="007E74B7"/>
    <w:rsid w:val="007E7945"/>
    <w:rsid w:val="007F163C"/>
    <w:rsid w:val="007F2486"/>
    <w:rsid w:val="007F47FF"/>
    <w:rsid w:val="007F4C36"/>
    <w:rsid w:val="007F6386"/>
    <w:rsid w:val="007F6CE8"/>
    <w:rsid w:val="007F7679"/>
    <w:rsid w:val="007F796B"/>
    <w:rsid w:val="008007AF"/>
    <w:rsid w:val="00801326"/>
    <w:rsid w:val="00801661"/>
    <w:rsid w:val="0080178C"/>
    <w:rsid w:val="00803153"/>
    <w:rsid w:val="0080486D"/>
    <w:rsid w:val="00804A92"/>
    <w:rsid w:val="00804EED"/>
    <w:rsid w:val="00805493"/>
    <w:rsid w:val="00806F86"/>
    <w:rsid w:val="008073F7"/>
    <w:rsid w:val="008104CD"/>
    <w:rsid w:val="00810FDE"/>
    <w:rsid w:val="0081100C"/>
    <w:rsid w:val="00811078"/>
    <w:rsid w:val="0081132B"/>
    <w:rsid w:val="00811E1E"/>
    <w:rsid w:val="008121DE"/>
    <w:rsid w:val="00813EC6"/>
    <w:rsid w:val="008149ED"/>
    <w:rsid w:val="00815EB9"/>
    <w:rsid w:val="008162F2"/>
    <w:rsid w:val="008169F6"/>
    <w:rsid w:val="00816C53"/>
    <w:rsid w:val="008171F5"/>
    <w:rsid w:val="00817BE4"/>
    <w:rsid w:val="00817FB4"/>
    <w:rsid w:val="008203D2"/>
    <w:rsid w:val="00820AB7"/>
    <w:rsid w:val="00820B8C"/>
    <w:rsid w:val="00820DF5"/>
    <w:rsid w:val="0082111A"/>
    <w:rsid w:val="00821D6E"/>
    <w:rsid w:val="00823BB0"/>
    <w:rsid w:val="00825B46"/>
    <w:rsid w:val="00825C20"/>
    <w:rsid w:val="00825C27"/>
    <w:rsid w:val="00826C16"/>
    <w:rsid w:val="00827BEE"/>
    <w:rsid w:val="0083061C"/>
    <w:rsid w:val="008307D1"/>
    <w:rsid w:val="008307DD"/>
    <w:rsid w:val="00830995"/>
    <w:rsid w:val="008310EE"/>
    <w:rsid w:val="00831354"/>
    <w:rsid w:val="008322B8"/>
    <w:rsid w:val="00832878"/>
    <w:rsid w:val="008329ED"/>
    <w:rsid w:val="00832B54"/>
    <w:rsid w:val="00832ECA"/>
    <w:rsid w:val="0083361C"/>
    <w:rsid w:val="008339C6"/>
    <w:rsid w:val="00835492"/>
    <w:rsid w:val="008361FB"/>
    <w:rsid w:val="00836356"/>
    <w:rsid w:val="00836DD7"/>
    <w:rsid w:val="008374B1"/>
    <w:rsid w:val="00837A0C"/>
    <w:rsid w:val="00840B80"/>
    <w:rsid w:val="00841B6C"/>
    <w:rsid w:val="00841C7D"/>
    <w:rsid w:val="00842651"/>
    <w:rsid w:val="008430F8"/>
    <w:rsid w:val="0084384F"/>
    <w:rsid w:val="00843D0D"/>
    <w:rsid w:val="00845950"/>
    <w:rsid w:val="00845AA6"/>
    <w:rsid w:val="008469C4"/>
    <w:rsid w:val="008517AE"/>
    <w:rsid w:val="00851896"/>
    <w:rsid w:val="0085205A"/>
    <w:rsid w:val="00852510"/>
    <w:rsid w:val="00852839"/>
    <w:rsid w:val="00852E95"/>
    <w:rsid w:val="0085336E"/>
    <w:rsid w:val="00854109"/>
    <w:rsid w:val="00854165"/>
    <w:rsid w:val="008565DA"/>
    <w:rsid w:val="00856BE7"/>
    <w:rsid w:val="00857730"/>
    <w:rsid w:val="00857C9F"/>
    <w:rsid w:val="0086034D"/>
    <w:rsid w:val="00860505"/>
    <w:rsid w:val="00860B75"/>
    <w:rsid w:val="0086128C"/>
    <w:rsid w:val="00862B68"/>
    <w:rsid w:val="0086411B"/>
    <w:rsid w:val="00864E78"/>
    <w:rsid w:val="008659C6"/>
    <w:rsid w:val="0086665C"/>
    <w:rsid w:val="00866F90"/>
    <w:rsid w:val="008670B7"/>
    <w:rsid w:val="0086732A"/>
    <w:rsid w:val="008710F2"/>
    <w:rsid w:val="00871321"/>
    <w:rsid w:val="00871B75"/>
    <w:rsid w:val="00872E27"/>
    <w:rsid w:val="00873429"/>
    <w:rsid w:val="00873EA4"/>
    <w:rsid w:val="00875631"/>
    <w:rsid w:val="00875F96"/>
    <w:rsid w:val="00876718"/>
    <w:rsid w:val="008767A9"/>
    <w:rsid w:val="00876998"/>
    <w:rsid w:val="00876A75"/>
    <w:rsid w:val="00876E0E"/>
    <w:rsid w:val="0087741D"/>
    <w:rsid w:val="00877FAE"/>
    <w:rsid w:val="00880991"/>
    <w:rsid w:val="00880C12"/>
    <w:rsid w:val="0088181D"/>
    <w:rsid w:val="008822FE"/>
    <w:rsid w:val="008827B3"/>
    <w:rsid w:val="00882B46"/>
    <w:rsid w:val="00883F82"/>
    <w:rsid w:val="008846A0"/>
    <w:rsid w:val="00885D0A"/>
    <w:rsid w:val="00887350"/>
    <w:rsid w:val="00890987"/>
    <w:rsid w:val="00890C59"/>
    <w:rsid w:val="00891775"/>
    <w:rsid w:val="00891951"/>
    <w:rsid w:val="00892481"/>
    <w:rsid w:val="00892542"/>
    <w:rsid w:val="0089281F"/>
    <w:rsid w:val="0089368F"/>
    <w:rsid w:val="00894DA4"/>
    <w:rsid w:val="00895441"/>
    <w:rsid w:val="008965AE"/>
    <w:rsid w:val="00897AE2"/>
    <w:rsid w:val="008A1198"/>
    <w:rsid w:val="008A1435"/>
    <w:rsid w:val="008A16C7"/>
    <w:rsid w:val="008A1FC1"/>
    <w:rsid w:val="008A2069"/>
    <w:rsid w:val="008A2343"/>
    <w:rsid w:val="008A288B"/>
    <w:rsid w:val="008A297D"/>
    <w:rsid w:val="008A31AB"/>
    <w:rsid w:val="008A3431"/>
    <w:rsid w:val="008A37BF"/>
    <w:rsid w:val="008A4020"/>
    <w:rsid w:val="008A435C"/>
    <w:rsid w:val="008A477B"/>
    <w:rsid w:val="008A64E8"/>
    <w:rsid w:val="008A7A88"/>
    <w:rsid w:val="008B0970"/>
    <w:rsid w:val="008B1033"/>
    <w:rsid w:val="008B11F2"/>
    <w:rsid w:val="008B2A8C"/>
    <w:rsid w:val="008B5BED"/>
    <w:rsid w:val="008B74DC"/>
    <w:rsid w:val="008B7C55"/>
    <w:rsid w:val="008C082C"/>
    <w:rsid w:val="008C0F4D"/>
    <w:rsid w:val="008C0F68"/>
    <w:rsid w:val="008C1CDC"/>
    <w:rsid w:val="008C3858"/>
    <w:rsid w:val="008C48DA"/>
    <w:rsid w:val="008C4C01"/>
    <w:rsid w:val="008C4E86"/>
    <w:rsid w:val="008C52D7"/>
    <w:rsid w:val="008C54ED"/>
    <w:rsid w:val="008C5684"/>
    <w:rsid w:val="008C6282"/>
    <w:rsid w:val="008C654B"/>
    <w:rsid w:val="008C6BCA"/>
    <w:rsid w:val="008C6D38"/>
    <w:rsid w:val="008C6E8B"/>
    <w:rsid w:val="008C739D"/>
    <w:rsid w:val="008C7550"/>
    <w:rsid w:val="008C7983"/>
    <w:rsid w:val="008C7EB9"/>
    <w:rsid w:val="008C7EC8"/>
    <w:rsid w:val="008D0619"/>
    <w:rsid w:val="008D0FFD"/>
    <w:rsid w:val="008D19C7"/>
    <w:rsid w:val="008D1FF5"/>
    <w:rsid w:val="008D2744"/>
    <w:rsid w:val="008D2BD2"/>
    <w:rsid w:val="008D36F6"/>
    <w:rsid w:val="008D50D4"/>
    <w:rsid w:val="008D5497"/>
    <w:rsid w:val="008D65FB"/>
    <w:rsid w:val="008D7589"/>
    <w:rsid w:val="008D7DDC"/>
    <w:rsid w:val="008E04D8"/>
    <w:rsid w:val="008E0C57"/>
    <w:rsid w:val="008E19AE"/>
    <w:rsid w:val="008E1DCC"/>
    <w:rsid w:val="008E24C0"/>
    <w:rsid w:val="008E2D0A"/>
    <w:rsid w:val="008E37E8"/>
    <w:rsid w:val="008E3E59"/>
    <w:rsid w:val="008E403C"/>
    <w:rsid w:val="008E41E0"/>
    <w:rsid w:val="008E46EB"/>
    <w:rsid w:val="008E525D"/>
    <w:rsid w:val="008E5D86"/>
    <w:rsid w:val="008E6156"/>
    <w:rsid w:val="008E6565"/>
    <w:rsid w:val="008E7CDE"/>
    <w:rsid w:val="008F0689"/>
    <w:rsid w:val="008F21D1"/>
    <w:rsid w:val="008F29F8"/>
    <w:rsid w:val="008F2FEB"/>
    <w:rsid w:val="008F37A9"/>
    <w:rsid w:val="008F3EB1"/>
    <w:rsid w:val="008F45C8"/>
    <w:rsid w:val="008F4AF5"/>
    <w:rsid w:val="008F4B5D"/>
    <w:rsid w:val="008F5EFC"/>
    <w:rsid w:val="00900E9E"/>
    <w:rsid w:val="00900F59"/>
    <w:rsid w:val="009010D0"/>
    <w:rsid w:val="009013A2"/>
    <w:rsid w:val="00901AAF"/>
    <w:rsid w:val="009027F5"/>
    <w:rsid w:val="00902C74"/>
    <w:rsid w:val="00905624"/>
    <w:rsid w:val="0090597F"/>
    <w:rsid w:val="009127E4"/>
    <w:rsid w:val="00912D37"/>
    <w:rsid w:val="00913C64"/>
    <w:rsid w:val="009144A2"/>
    <w:rsid w:val="00915305"/>
    <w:rsid w:val="0091584A"/>
    <w:rsid w:val="00915BDF"/>
    <w:rsid w:val="0091656A"/>
    <w:rsid w:val="00916633"/>
    <w:rsid w:val="00917804"/>
    <w:rsid w:val="00917CDD"/>
    <w:rsid w:val="00920007"/>
    <w:rsid w:val="00920956"/>
    <w:rsid w:val="00920BFE"/>
    <w:rsid w:val="009220AD"/>
    <w:rsid w:val="00922182"/>
    <w:rsid w:val="00922A44"/>
    <w:rsid w:val="0092333D"/>
    <w:rsid w:val="00923EAB"/>
    <w:rsid w:val="009249E6"/>
    <w:rsid w:val="00924CFE"/>
    <w:rsid w:val="00924F1A"/>
    <w:rsid w:val="00924FA4"/>
    <w:rsid w:val="00925447"/>
    <w:rsid w:val="009258B5"/>
    <w:rsid w:val="00925D10"/>
    <w:rsid w:val="00925FAE"/>
    <w:rsid w:val="009270BB"/>
    <w:rsid w:val="009275E5"/>
    <w:rsid w:val="0093094B"/>
    <w:rsid w:val="00930D80"/>
    <w:rsid w:val="009312AE"/>
    <w:rsid w:val="00931ACF"/>
    <w:rsid w:val="00931EC6"/>
    <w:rsid w:val="00932605"/>
    <w:rsid w:val="0093379C"/>
    <w:rsid w:val="00933F01"/>
    <w:rsid w:val="009343FB"/>
    <w:rsid w:val="00935F67"/>
    <w:rsid w:val="00935FDB"/>
    <w:rsid w:val="0093672F"/>
    <w:rsid w:val="0093693A"/>
    <w:rsid w:val="00936AA0"/>
    <w:rsid w:val="00936C10"/>
    <w:rsid w:val="00937477"/>
    <w:rsid w:val="009376BF"/>
    <w:rsid w:val="00937A22"/>
    <w:rsid w:val="00940C90"/>
    <w:rsid w:val="00941A74"/>
    <w:rsid w:val="00942CF9"/>
    <w:rsid w:val="0094338D"/>
    <w:rsid w:val="0094342A"/>
    <w:rsid w:val="009436EF"/>
    <w:rsid w:val="00943C28"/>
    <w:rsid w:val="009446B7"/>
    <w:rsid w:val="009449AE"/>
    <w:rsid w:val="00944A1B"/>
    <w:rsid w:val="00952F9F"/>
    <w:rsid w:val="00952FF8"/>
    <w:rsid w:val="00953393"/>
    <w:rsid w:val="0095359D"/>
    <w:rsid w:val="009537FF"/>
    <w:rsid w:val="0095509D"/>
    <w:rsid w:val="00955356"/>
    <w:rsid w:val="009554DA"/>
    <w:rsid w:val="00955F60"/>
    <w:rsid w:val="009562E1"/>
    <w:rsid w:val="009565C1"/>
    <w:rsid w:val="00957505"/>
    <w:rsid w:val="00957509"/>
    <w:rsid w:val="00960845"/>
    <w:rsid w:val="009608AB"/>
    <w:rsid w:val="00960CBA"/>
    <w:rsid w:val="009636F2"/>
    <w:rsid w:val="00963F82"/>
    <w:rsid w:val="00964398"/>
    <w:rsid w:val="009645A2"/>
    <w:rsid w:val="009671F5"/>
    <w:rsid w:val="00967491"/>
    <w:rsid w:val="009677B5"/>
    <w:rsid w:val="00967A48"/>
    <w:rsid w:val="00967CFF"/>
    <w:rsid w:val="009704D2"/>
    <w:rsid w:val="0097195A"/>
    <w:rsid w:val="00971B33"/>
    <w:rsid w:val="00971B4F"/>
    <w:rsid w:val="00971F27"/>
    <w:rsid w:val="00973485"/>
    <w:rsid w:val="009738C6"/>
    <w:rsid w:val="0097489A"/>
    <w:rsid w:val="00974996"/>
    <w:rsid w:val="009755DB"/>
    <w:rsid w:val="009759C7"/>
    <w:rsid w:val="00975A03"/>
    <w:rsid w:val="00975A5B"/>
    <w:rsid w:val="0097610A"/>
    <w:rsid w:val="0097651D"/>
    <w:rsid w:val="009766D9"/>
    <w:rsid w:val="00976D3F"/>
    <w:rsid w:val="00976ECB"/>
    <w:rsid w:val="009778FB"/>
    <w:rsid w:val="00980BEC"/>
    <w:rsid w:val="00981C4D"/>
    <w:rsid w:val="00981D3D"/>
    <w:rsid w:val="0098240B"/>
    <w:rsid w:val="00982AB1"/>
    <w:rsid w:val="00983193"/>
    <w:rsid w:val="0098484C"/>
    <w:rsid w:val="00985C52"/>
    <w:rsid w:val="00985D39"/>
    <w:rsid w:val="009901B5"/>
    <w:rsid w:val="00990553"/>
    <w:rsid w:val="00991B66"/>
    <w:rsid w:val="00991EA9"/>
    <w:rsid w:val="00991F30"/>
    <w:rsid w:val="00992656"/>
    <w:rsid w:val="009937B0"/>
    <w:rsid w:val="0099578F"/>
    <w:rsid w:val="00996A30"/>
    <w:rsid w:val="009A0002"/>
    <w:rsid w:val="009A0286"/>
    <w:rsid w:val="009A0E66"/>
    <w:rsid w:val="009A0FFA"/>
    <w:rsid w:val="009A17CF"/>
    <w:rsid w:val="009A2369"/>
    <w:rsid w:val="009A326B"/>
    <w:rsid w:val="009A389F"/>
    <w:rsid w:val="009A3ED8"/>
    <w:rsid w:val="009A4643"/>
    <w:rsid w:val="009A52F2"/>
    <w:rsid w:val="009A55FB"/>
    <w:rsid w:val="009A5FAA"/>
    <w:rsid w:val="009A6EC6"/>
    <w:rsid w:val="009A7A38"/>
    <w:rsid w:val="009B0761"/>
    <w:rsid w:val="009B0912"/>
    <w:rsid w:val="009B3011"/>
    <w:rsid w:val="009B3F6C"/>
    <w:rsid w:val="009B4213"/>
    <w:rsid w:val="009B51B7"/>
    <w:rsid w:val="009B5ABC"/>
    <w:rsid w:val="009B5ABF"/>
    <w:rsid w:val="009B5E0B"/>
    <w:rsid w:val="009B64E4"/>
    <w:rsid w:val="009C0699"/>
    <w:rsid w:val="009C1683"/>
    <w:rsid w:val="009C2E94"/>
    <w:rsid w:val="009C48DC"/>
    <w:rsid w:val="009C697F"/>
    <w:rsid w:val="009C7F74"/>
    <w:rsid w:val="009D07B0"/>
    <w:rsid w:val="009D089F"/>
    <w:rsid w:val="009D095B"/>
    <w:rsid w:val="009D0EE2"/>
    <w:rsid w:val="009D123F"/>
    <w:rsid w:val="009D15D5"/>
    <w:rsid w:val="009D1802"/>
    <w:rsid w:val="009D2404"/>
    <w:rsid w:val="009D2580"/>
    <w:rsid w:val="009D3705"/>
    <w:rsid w:val="009D3DCE"/>
    <w:rsid w:val="009D43D8"/>
    <w:rsid w:val="009D6E37"/>
    <w:rsid w:val="009E1B4C"/>
    <w:rsid w:val="009E1D71"/>
    <w:rsid w:val="009E1DFA"/>
    <w:rsid w:val="009E1FCB"/>
    <w:rsid w:val="009E1FEE"/>
    <w:rsid w:val="009E2A91"/>
    <w:rsid w:val="009E32E7"/>
    <w:rsid w:val="009E6112"/>
    <w:rsid w:val="009E7151"/>
    <w:rsid w:val="009E7DBD"/>
    <w:rsid w:val="009F0A56"/>
    <w:rsid w:val="009F2A71"/>
    <w:rsid w:val="009F4DE8"/>
    <w:rsid w:val="009F52B4"/>
    <w:rsid w:val="009F56B7"/>
    <w:rsid w:val="009F57E5"/>
    <w:rsid w:val="00A00825"/>
    <w:rsid w:val="00A00B96"/>
    <w:rsid w:val="00A01204"/>
    <w:rsid w:val="00A030A0"/>
    <w:rsid w:val="00A03A5F"/>
    <w:rsid w:val="00A03D46"/>
    <w:rsid w:val="00A03F16"/>
    <w:rsid w:val="00A0508B"/>
    <w:rsid w:val="00A050BE"/>
    <w:rsid w:val="00A05B28"/>
    <w:rsid w:val="00A05E3B"/>
    <w:rsid w:val="00A06A61"/>
    <w:rsid w:val="00A075EE"/>
    <w:rsid w:val="00A07C6A"/>
    <w:rsid w:val="00A10CB4"/>
    <w:rsid w:val="00A11A96"/>
    <w:rsid w:val="00A11DC3"/>
    <w:rsid w:val="00A1202F"/>
    <w:rsid w:val="00A131BE"/>
    <w:rsid w:val="00A14577"/>
    <w:rsid w:val="00A14D9B"/>
    <w:rsid w:val="00A14DDA"/>
    <w:rsid w:val="00A15506"/>
    <w:rsid w:val="00A159EF"/>
    <w:rsid w:val="00A1606B"/>
    <w:rsid w:val="00A167FB"/>
    <w:rsid w:val="00A16B94"/>
    <w:rsid w:val="00A17E29"/>
    <w:rsid w:val="00A2082E"/>
    <w:rsid w:val="00A21BAC"/>
    <w:rsid w:val="00A222C9"/>
    <w:rsid w:val="00A22CF0"/>
    <w:rsid w:val="00A23BA5"/>
    <w:rsid w:val="00A26337"/>
    <w:rsid w:val="00A263C1"/>
    <w:rsid w:val="00A26D56"/>
    <w:rsid w:val="00A26F75"/>
    <w:rsid w:val="00A27518"/>
    <w:rsid w:val="00A307AE"/>
    <w:rsid w:val="00A3153A"/>
    <w:rsid w:val="00A31C1F"/>
    <w:rsid w:val="00A31C9B"/>
    <w:rsid w:val="00A322EF"/>
    <w:rsid w:val="00A335C8"/>
    <w:rsid w:val="00A348BB"/>
    <w:rsid w:val="00A34CCD"/>
    <w:rsid w:val="00A34E90"/>
    <w:rsid w:val="00A3574A"/>
    <w:rsid w:val="00A36E56"/>
    <w:rsid w:val="00A36ED2"/>
    <w:rsid w:val="00A376C8"/>
    <w:rsid w:val="00A378F3"/>
    <w:rsid w:val="00A3793D"/>
    <w:rsid w:val="00A42CD9"/>
    <w:rsid w:val="00A43770"/>
    <w:rsid w:val="00A44B50"/>
    <w:rsid w:val="00A44E05"/>
    <w:rsid w:val="00A4657A"/>
    <w:rsid w:val="00A46EDB"/>
    <w:rsid w:val="00A4700C"/>
    <w:rsid w:val="00A475F1"/>
    <w:rsid w:val="00A47AAA"/>
    <w:rsid w:val="00A51228"/>
    <w:rsid w:val="00A5130D"/>
    <w:rsid w:val="00A51AA8"/>
    <w:rsid w:val="00A51AF5"/>
    <w:rsid w:val="00A52C76"/>
    <w:rsid w:val="00A53236"/>
    <w:rsid w:val="00A53581"/>
    <w:rsid w:val="00A55473"/>
    <w:rsid w:val="00A56F21"/>
    <w:rsid w:val="00A607D0"/>
    <w:rsid w:val="00A60EDC"/>
    <w:rsid w:val="00A620F9"/>
    <w:rsid w:val="00A621AE"/>
    <w:rsid w:val="00A6222E"/>
    <w:rsid w:val="00A62796"/>
    <w:rsid w:val="00A62E0E"/>
    <w:rsid w:val="00A633E9"/>
    <w:rsid w:val="00A64F69"/>
    <w:rsid w:val="00A65D57"/>
    <w:rsid w:val="00A65FE0"/>
    <w:rsid w:val="00A67198"/>
    <w:rsid w:val="00A70862"/>
    <w:rsid w:val="00A70D5A"/>
    <w:rsid w:val="00A71A6C"/>
    <w:rsid w:val="00A72ACD"/>
    <w:rsid w:val="00A72C3A"/>
    <w:rsid w:val="00A72FB9"/>
    <w:rsid w:val="00A741DC"/>
    <w:rsid w:val="00A742D0"/>
    <w:rsid w:val="00A74D00"/>
    <w:rsid w:val="00A76CAE"/>
    <w:rsid w:val="00A76F43"/>
    <w:rsid w:val="00A76FEF"/>
    <w:rsid w:val="00A801D4"/>
    <w:rsid w:val="00A80907"/>
    <w:rsid w:val="00A81210"/>
    <w:rsid w:val="00A81B04"/>
    <w:rsid w:val="00A8279C"/>
    <w:rsid w:val="00A82ACC"/>
    <w:rsid w:val="00A83961"/>
    <w:rsid w:val="00A8629F"/>
    <w:rsid w:val="00A864B9"/>
    <w:rsid w:val="00A86D2B"/>
    <w:rsid w:val="00A879E4"/>
    <w:rsid w:val="00A87BCF"/>
    <w:rsid w:val="00A90BC6"/>
    <w:rsid w:val="00A90EA1"/>
    <w:rsid w:val="00A92376"/>
    <w:rsid w:val="00A92905"/>
    <w:rsid w:val="00A93088"/>
    <w:rsid w:val="00A9318A"/>
    <w:rsid w:val="00A939CA"/>
    <w:rsid w:val="00A93DA8"/>
    <w:rsid w:val="00A93FA8"/>
    <w:rsid w:val="00A94393"/>
    <w:rsid w:val="00A94399"/>
    <w:rsid w:val="00A945AF"/>
    <w:rsid w:val="00A9533C"/>
    <w:rsid w:val="00A95E83"/>
    <w:rsid w:val="00A961F2"/>
    <w:rsid w:val="00A9736E"/>
    <w:rsid w:val="00AA037D"/>
    <w:rsid w:val="00AA0423"/>
    <w:rsid w:val="00AA044B"/>
    <w:rsid w:val="00AA27B7"/>
    <w:rsid w:val="00AA3A40"/>
    <w:rsid w:val="00AA3A50"/>
    <w:rsid w:val="00AA4792"/>
    <w:rsid w:val="00AA5DCF"/>
    <w:rsid w:val="00AA61E1"/>
    <w:rsid w:val="00AB021E"/>
    <w:rsid w:val="00AB07D9"/>
    <w:rsid w:val="00AB1A03"/>
    <w:rsid w:val="00AB1FF0"/>
    <w:rsid w:val="00AB2B4D"/>
    <w:rsid w:val="00AB2FDB"/>
    <w:rsid w:val="00AB33DD"/>
    <w:rsid w:val="00AB47D5"/>
    <w:rsid w:val="00AB47DB"/>
    <w:rsid w:val="00AB49AD"/>
    <w:rsid w:val="00AB6040"/>
    <w:rsid w:val="00AB6417"/>
    <w:rsid w:val="00AB6EC4"/>
    <w:rsid w:val="00AB6F02"/>
    <w:rsid w:val="00AB736B"/>
    <w:rsid w:val="00AC06C6"/>
    <w:rsid w:val="00AC06CA"/>
    <w:rsid w:val="00AC11A3"/>
    <w:rsid w:val="00AC1C34"/>
    <w:rsid w:val="00AC23E1"/>
    <w:rsid w:val="00AC2503"/>
    <w:rsid w:val="00AC5883"/>
    <w:rsid w:val="00AD0F83"/>
    <w:rsid w:val="00AD4150"/>
    <w:rsid w:val="00AD5CCB"/>
    <w:rsid w:val="00AD6178"/>
    <w:rsid w:val="00AD644C"/>
    <w:rsid w:val="00AD691B"/>
    <w:rsid w:val="00AD6B03"/>
    <w:rsid w:val="00AD75A8"/>
    <w:rsid w:val="00AD78B8"/>
    <w:rsid w:val="00AD7ED1"/>
    <w:rsid w:val="00AE0576"/>
    <w:rsid w:val="00AE165D"/>
    <w:rsid w:val="00AE1B18"/>
    <w:rsid w:val="00AE1C2B"/>
    <w:rsid w:val="00AE34B5"/>
    <w:rsid w:val="00AE37B5"/>
    <w:rsid w:val="00AE4491"/>
    <w:rsid w:val="00AE48FF"/>
    <w:rsid w:val="00AE4AE8"/>
    <w:rsid w:val="00AE55E1"/>
    <w:rsid w:val="00AE593A"/>
    <w:rsid w:val="00AE600A"/>
    <w:rsid w:val="00AE6E69"/>
    <w:rsid w:val="00AE71AB"/>
    <w:rsid w:val="00AE73E5"/>
    <w:rsid w:val="00AF0302"/>
    <w:rsid w:val="00AF05BC"/>
    <w:rsid w:val="00AF143B"/>
    <w:rsid w:val="00AF1F6F"/>
    <w:rsid w:val="00AF241B"/>
    <w:rsid w:val="00AF2CC2"/>
    <w:rsid w:val="00AF3B5C"/>
    <w:rsid w:val="00AF474E"/>
    <w:rsid w:val="00AF4882"/>
    <w:rsid w:val="00AF4B25"/>
    <w:rsid w:val="00AF4BF4"/>
    <w:rsid w:val="00AF515F"/>
    <w:rsid w:val="00AF7672"/>
    <w:rsid w:val="00AF784D"/>
    <w:rsid w:val="00AF79F3"/>
    <w:rsid w:val="00B005D1"/>
    <w:rsid w:val="00B010DC"/>
    <w:rsid w:val="00B01B03"/>
    <w:rsid w:val="00B01F72"/>
    <w:rsid w:val="00B02FD1"/>
    <w:rsid w:val="00B032A0"/>
    <w:rsid w:val="00B043B4"/>
    <w:rsid w:val="00B04492"/>
    <w:rsid w:val="00B1012C"/>
    <w:rsid w:val="00B11744"/>
    <w:rsid w:val="00B11E82"/>
    <w:rsid w:val="00B13623"/>
    <w:rsid w:val="00B14FEB"/>
    <w:rsid w:val="00B1562F"/>
    <w:rsid w:val="00B15AFB"/>
    <w:rsid w:val="00B16463"/>
    <w:rsid w:val="00B17064"/>
    <w:rsid w:val="00B173EF"/>
    <w:rsid w:val="00B1744F"/>
    <w:rsid w:val="00B2141F"/>
    <w:rsid w:val="00B2150C"/>
    <w:rsid w:val="00B21660"/>
    <w:rsid w:val="00B21B0A"/>
    <w:rsid w:val="00B21F0D"/>
    <w:rsid w:val="00B222D4"/>
    <w:rsid w:val="00B2279A"/>
    <w:rsid w:val="00B23090"/>
    <w:rsid w:val="00B2418F"/>
    <w:rsid w:val="00B25152"/>
    <w:rsid w:val="00B257A9"/>
    <w:rsid w:val="00B25D7F"/>
    <w:rsid w:val="00B25DA1"/>
    <w:rsid w:val="00B31AEC"/>
    <w:rsid w:val="00B3333E"/>
    <w:rsid w:val="00B33937"/>
    <w:rsid w:val="00B342EC"/>
    <w:rsid w:val="00B3524B"/>
    <w:rsid w:val="00B358BC"/>
    <w:rsid w:val="00B363E3"/>
    <w:rsid w:val="00B36DE4"/>
    <w:rsid w:val="00B370B3"/>
    <w:rsid w:val="00B37873"/>
    <w:rsid w:val="00B4030B"/>
    <w:rsid w:val="00B4043E"/>
    <w:rsid w:val="00B40EC6"/>
    <w:rsid w:val="00B414D2"/>
    <w:rsid w:val="00B42496"/>
    <w:rsid w:val="00B438D1"/>
    <w:rsid w:val="00B44189"/>
    <w:rsid w:val="00B442EA"/>
    <w:rsid w:val="00B45963"/>
    <w:rsid w:val="00B45E57"/>
    <w:rsid w:val="00B467AD"/>
    <w:rsid w:val="00B46EAC"/>
    <w:rsid w:val="00B479DA"/>
    <w:rsid w:val="00B51017"/>
    <w:rsid w:val="00B521BE"/>
    <w:rsid w:val="00B5316B"/>
    <w:rsid w:val="00B53997"/>
    <w:rsid w:val="00B543AA"/>
    <w:rsid w:val="00B54524"/>
    <w:rsid w:val="00B5461D"/>
    <w:rsid w:val="00B54775"/>
    <w:rsid w:val="00B54B01"/>
    <w:rsid w:val="00B551B3"/>
    <w:rsid w:val="00B5566A"/>
    <w:rsid w:val="00B55C17"/>
    <w:rsid w:val="00B568CA"/>
    <w:rsid w:val="00B56EDD"/>
    <w:rsid w:val="00B61566"/>
    <w:rsid w:val="00B615D8"/>
    <w:rsid w:val="00B6164E"/>
    <w:rsid w:val="00B618AC"/>
    <w:rsid w:val="00B621AB"/>
    <w:rsid w:val="00B62302"/>
    <w:rsid w:val="00B6232D"/>
    <w:rsid w:val="00B628F6"/>
    <w:rsid w:val="00B62D47"/>
    <w:rsid w:val="00B62F3B"/>
    <w:rsid w:val="00B64CB4"/>
    <w:rsid w:val="00B65889"/>
    <w:rsid w:val="00B65912"/>
    <w:rsid w:val="00B6690F"/>
    <w:rsid w:val="00B67A61"/>
    <w:rsid w:val="00B67B40"/>
    <w:rsid w:val="00B67BCA"/>
    <w:rsid w:val="00B716E5"/>
    <w:rsid w:val="00B71851"/>
    <w:rsid w:val="00B71B77"/>
    <w:rsid w:val="00B72FA8"/>
    <w:rsid w:val="00B73C27"/>
    <w:rsid w:val="00B7536B"/>
    <w:rsid w:val="00B763A1"/>
    <w:rsid w:val="00B76B11"/>
    <w:rsid w:val="00B76D6B"/>
    <w:rsid w:val="00B76EC7"/>
    <w:rsid w:val="00B81415"/>
    <w:rsid w:val="00B8241D"/>
    <w:rsid w:val="00B82681"/>
    <w:rsid w:val="00B826EB"/>
    <w:rsid w:val="00B82CFC"/>
    <w:rsid w:val="00B83071"/>
    <w:rsid w:val="00B843E2"/>
    <w:rsid w:val="00B846BE"/>
    <w:rsid w:val="00B84751"/>
    <w:rsid w:val="00B8494A"/>
    <w:rsid w:val="00B84FE9"/>
    <w:rsid w:val="00B86C2C"/>
    <w:rsid w:val="00B870C1"/>
    <w:rsid w:val="00B873BD"/>
    <w:rsid w:val="00B9063E"/>
    <w:rsid w:val="00B9069B"/>
    <w:rsid w:val="00B91D9C"/>
    <w:rsid w:val="00B93631"/>
    <w:rsid w:val="00B93A30"/>
    <w:rsid w:val="00B94AB3"/>
    <w:rsid w:val="00B94F28"/>
    <w:rsid w:val="00BA2005"/>
    <w:rsid w:val="00BA284E"/>
    <w:rsid w:val="00BA28A7"/>
    <w:rsid w:val="00BA28F1"/>
    <w:rsid w:val="00BA2EAF"/>
    <w:rsid w:val="00BA3266"/>
    <w:rsid w:val="00BA47B9"/>
    <w:rsid w:val="00BA60DC"/>
    <w:rsid w:val="00BA6B34"/>
    <w:rsid w:val="00BA6F67"/>
    <w:rsid w:val="00BB04EE"/>
    <w:rsid w:val="00BB1CAF"/>
    <w:rsid w:val="00BB29DD"/>
    <w:rsid w:val="00BB403C"/>
    <w:rsid w:val="00BB4E1C"/>
    <w:rsid w:val="00BB6045"/>
    <w:rsid w:val="00BB78CA"/>
    <w:rsid w:val="00BB7E89"/>
    <w:rsid w:val="00BC0A55"/>
    <w:rsid w:val="00BC0C38"/>
    <w:rsid w:val="00BC18BD"/>
    <w:rsid w:val="00BC1FCD"/>
    <w:rsid w:val="00BC237C"/>
    <w:rsid w:val="00BC36E9"/>
    <w:rsid w:val="00BC3715"/>
    <w:rsid w:val="00BC3BD2"/>
    <w:rsid w:val="00BC4139"/>
    <w:rsid w:val="00BC5266"/>
    <w:rsid w:val="00BC5BFA"/>
    <w:rsid w:val="00BC67BD"/>
    <w:rsid w:val="00BC6EAF"/>
    <w:rsid w:val="00BC744D"/>
    <w:rsid w:val="00BD01B4"/>
    <w:rsid w:val="00BD03E1"/>
    <w:rsid w:val="00BD09B6"/>
    <w:rsid w:val="00BD1F5E"/>
    <w:rsid w:val="00BD2187"/>
    <w:rsid w:val="00BD2C23"/>
    <w:rsid w:val="00BD32EC"/>
    <w:rsid w:val="00BD376E"/>
    <w:rsid w:val="00BD51D0"/>
    <w:rsid w:val="00BD528D"/>
    <w:rsid w:val="00BD5308"/>
    <w:rsid w:val="00BD5839"/>
    <w:rsid w:val="00BD585E"/>
    <w:rsid w:val="00BD60E3"/>
    <w:rsid w:val="00BD6FF8"/>
    <w:rsid w:val="00BD789C"/>
    <w:rsid w:val="00BE0463"/>
    <w:rsid w:val="00BE0DDD"/>
    <w:rsid w:val="00BE2B93"/>
    <w:rsid w:val="00BE3014"/>
    <w:rsid w:val="00BE3107"/>
    <w:rsid w:val="00BE3247"/>
    <w:rsid w:val="00BE4897"/>
    <w:rsid w:val="00BE5903"/>
    <w:rsid w:val="00BE5F12"/>
    <w:rsid w:val="00BE5F7A"/>
    <w:rsid w:val="00BE73AC"/>
    <w:rsid w:val="00BF15EC"/>
    <w:rsid w:val="00BF1788"/>
    <w:rsid w:val="00BF3028"/>
    <w:rsid w:val="00BF31F8"/>
    <w:rsid w:val="00BF33BE"/>
    <w:rsid w:val="00BF38D6"/>
    <w:rsid w:val="00BF3C1E"/>
    <w:rsid w:val="00BF3E2A"/>
    <w:rsid w:val="00BF4665"/>
    <w:rsid w:val="00BF4D22"/>
    <w:rsid w:val="00BF52F8"/>
    <w:rsid w:val="00BF5967"/>
    <w:rsid w:val="00BF5E3C"/>
    <w:rsid w:val="00BF6395"/>
    <w:rsid w:val="00BF664F"/>
    <w:rsid w:val="00BF6B85"/>
    <w:rsid w:val="00BF7610"/>
    <w:rsid w:val="00C0029E"/>
    <w:rsid w:val="00C00F16"/>
    <w:rsid w:val="00C0201B"/>
    <w:rsid w:val="00C020CC"/>
    <w:rsid w:val="00C025CF"/>
    <w:rsid w:val="00C02EC4"/>
    <w:rsid w:val="00C031B1"/>
    <w:rsid w:val="00C03838"/>
    <w:rsid w:val="00C03C0E"/>
    <w:rsid w:val="00C046EE"/>
    <w:rsid w:val="00C0530B"/>
    <w:rsid w:val="00C0533D"/>
    <w:rsid w:val="00C068AF"/>
    <w:rsid w:val="00C10869"/>
    <w:rsid w:val="00C10C4D"/>
    <w:rsid w:val="00C115CF"/>
    <w:rsid w:val="00C13F06"/>
    <w:rsid w:val="00C14A57"/>
    <w:rsid w:val="00C1693F"/>
    <w:rsid w:val="00C16A07"/>
    <w:rsid w:val="00C16C53"/>
    <w:rsid w:val="00C175B2"/>
    <w:rsid w:val="00C20921"/>
    <w:rsid w:val="00C2092F"/>
    <w:rsid w:val="00C2174D"/>
    <w:rsid w:val="00C219A6"/>
    <w:rsid w:val="00C22C5E"/>
    <w:rsid w:val="00C22CAC"/>
    <w:rsid w:val="00C22EAD"/>
    <w:rsid w:val="00C2331E"/>
    <w:rsid w:val="00C2344D"/>
    <w:rsid w:val="00C24086"/>
    <w:rsid w:val="00C24248"/>
    <w:rsid w:val="00C25596"/>
    <w:rsid w:val="00C259E3"/>
    <w:rsid w:val="00C2667B"/>
    <w:rsid w:val="00C300D5"/>
    <w:rsid w:val="00C30279"/>
    <w:rsid w:val="00C3042F"/>
    <w:rsid w:val="00C31FD3"/>
    <w:rsid w:val="00C323AE"/>
    <w:rsid w:val="00C33330"/>
    <w:rsid w:val="00C334D8"/>
    <w:rsid w:val="00C33CAD"/>
    <w:rsid w:val="00C347E6"/>
    <w:rsid w:val="00C34B6C"/>
    <w:rsid w:val="00C3502E"/>
    <w:rsid w:val="00C3550C"/>
    <w:rsid w:val="00C35CC3"/>
    <w:rsid w:val="00C37893"/>
    <w:rsid w:val="00C37A7B"/>
    <w:rsid w:val="00C40344"/>
    <w:rsid w:val="00C4048E"/>
    <w:rsid w:val="00C40870"/>
    <w:rsid w:val="00C410D3"/>
    <w:rsid w:val="00C4121F"/>
    <w:rsid w:val="00C41521"/>
    <w:rsid w:val="00C41547"/>
    <w:rsid w:val="00C41F3F"/>
    <w:rsid w:val="00C4254F"/>
    <w:rsid w:val="00C42A49"/>
    <w:rsid w:val="00C436F3"/>
    <w:rsid w:val="00C43896"/>
    <w:rsid w:val="00C4461E"/>
    <w:rsid w:val="00C44B4C"/>
    <w:rsid w:val="00C45EAC"/>
    <w:rsid w:val="00C46540"/>
    <w:rsid w:val="00C4666E"/>
    <w:rsid w:val="00C47ABB"/>
    <w:rsid w:val="00C50448"/>
    <w:rsid w:val="00C5060F"/>
    <w:rsid w:val="00C506EA"/>
    <w:rsid w:val="00C51031"/>
    <w:rsid w:val="00C5119B"/>
    <w:rsid w:val="00C512E0"/>
    <w:rsid w:val="00C516D4"/>
    <w:rsid w:val="00C51825"/>
    <w:rsid w:val="00C51D70"/>
    <w:rsid w:val="00C52073"/>
    <w:rsid w:val="00C52331"/>
    <w:rsid w:val="00C55113"/>
    <w:rsid w:val="00C56921"/>
    <w:rsid w:val="00C56EB5"/>
    <w:rsid w:val="00C57092"/>
    <w:rsid w:val="00C57654"/>
    <w:rsid w:val="00C57AB3"/>
    <w:rsid w:val="00C609E9"/>
    <w:rsid w:val="00C61916"/>
    <w:rsid w:val="00C61B0B"/>
    <w:rsid w:val="00C61F68"/>
    <w:rsid w:val="00C62314"/>
    <w:rsid w:val="00C624E5"/>
    <w:rsid w:val="00C633D2"/>
    <w:rsid w:val="00C63793"/>
    <w:rsid w:val="00C638FB"/>
    <w:rsid w:val="00C63AE6"/>
    <w:rsid w:val="00C66965"/>
    <w:rsid w:val="00C67163"/>
    <w:rsid w:val="00C672A8"/>
    <w:rsid w:val="00C67FEE"/>
    <w:rsid w:val="00C700EA"/>
    <w:rsid w:val="00C71427"/>
    <w:rsid w:val="00C72A07"/>
    <w:rsid w:val="00C74178"/>
    <w:rsid w:val="00C755D8"/>
    <w:rsid w:val="00C758AC"/>
    <w:rsid w:val="00C75A0F"/>
    <w:rsid w:val="00C765C5"/>
    <w:rsid w:val="00C767FB"/>
    <w:rsid w:val="00C76953"/>
    <w:rsid w:val="00C771C2"/>
    <w:rsid w:val="00C778BF"/>
    <w:rsid w:val="00C80D60"/>
    <w:rsid w:val="00C81540"/>
    <w:rsid w:val="00C81BA6"/>
    <w:rsid w:val="00C820D0"/>
    <w:rsid w:val="00C82893"/>
    <w:rsid w:val="00C82FA3"/>
    <w:rsid w:val="00C84299"/>
    <w:rsid w:val="00C84EFA"/>
    <w:rsid w:val="00C84FE2"/>
    <w:rsid w:val="00C85A04"/>
    <w:rsid w:val="00C85F1E"/>
    <w:rsid w:val="00C85F8C"/>
    <w:rsid w:val="00C86C66"/>
    <w:rsid w:val="00C90238"/>
    <w:rsid w:val="00C90493"/>
    <w:rsid w:val="00C90907"/>
    <w:rsid w:val="00C91605"/>
    <w:rsid w:val="00C92A4B"/>
    <w:rsid w:val="00C9346F"/>
    <w:rsid w:val="00C93652"/>
    <w:rsid w:val="00C94455"/>
    <w:rsid w:val="00C9497A"/>
    <w:rsid w:val="00C94C33"/>
    <w:rsid w:val="00C95475"/>
    <w:rsid w:val="00C957C9"/>
    <w:rsid w:val="00C96015"/>
    <w:rsid w:val="00C9630F"/>
    <w:rsid w:val="00C963C8"/>
    <w:rsid w:val="00C970A3"/>
    <w:rsid w:val="00C97D6E"/>
    <w:rsid w:val="00CA03B8"/>
    <w:rsid w:val="00CA0416"/>
    <w:rsid w:val="00CA0828"/>
    <w:rsid w:val="00CA102E"/>
    <w:rsid w:val="00CA2929"/>
    <w:rsid w:val="00CA32D2"/>
    <w:rsid w:val="00CA36B3"/>
    <w:rsid w:val="00CA40B0"/>
    <w:rsid w:val="00CA518C"/>
    <w:rsid w:val="00CA5AE2"/>
    <w:rsid w:val="00CA643A"/>
    <w:rsid w:val="00CA6702"/>
    <w:rsid w:val="00CA6D37"/>
    <w:rsid w:val="00CA6FAE"/>
    <w:rsid w:val="00CA781F"/>
    <w:rsid w:val="00CA7F65"/>
    <w:rsid w:val="00CB078F"/>
    <w:rsid w:val="00CB0A74"/>
    <w:rsid w:val="00CB0DFD"/>
    <w:rsid w:val="00CB1529"/>
    <w:rsid w:val="00CB271C"/>
    <w:rsid w:val="00CB2D6D"/>
    <w:rsid w:val="00CB3596"/>
    <w:rsid w:val="00CB37B8"/>
    <w:rsid w:val="00CB40FF"/>
    <w:rsid w:val="00CB44C0"/>
    <w:rsid w:val="00CB45FB"/>
    <w:rsid w:val="00CB4639"/>
    <w:rsid w:val="00CB4FA8"/>
    <w:rsid w:val="00CB55BB"/>
    <w:rsid w:val="00CB6C73"/>
    <w:rsid w:val="00CB7034"/>
    <w:rsid w:val="00CB7F0B"/>
    <w:rsid w:val="00CC14CA"/>
    <w:rsid w:val="00CC1892"/>
    <w:rsid w:val="00CC28B5"/>
    <w:rsid w:val="00CC2B6F"/>
    <w:rsid w:val="00CC41B9"/>
    <w:rsid w:val="00CC4A58"/>
    <w:rsid w:val="00CC6BF9"/>
    <w:rsid w:val="00CC6DD9"/>
    <w:rsid w:val="00CC7010"/>
    <w:rsid w:val="00CD05B6"/>
    <w:rsid w:val="00CD1289"/>
    <w:rsid w:val="00CD1563"/>
    <w:rsid w:val="00CD215C"/>
    <w:rsid w:val="00CD2B45"/>
    <w:rsid w:val="00CD2D6B"/>
    <w:rsid w:val="00CD30CA"/>
    <w:rsid w:val="00CD3B9A"/>
    <w:rsid w:val="00CD4451"/>
    <w:rsid w:val="00CD5423"/>
    <w:rsid w:val="00CD5477"/>
    <w:rsid w:val="00CD6589"/>
    <w:rsid w:val="00CD6E63"/>
    <w:rsid w:val="00CD766D"/>
    <w:rsid w:val="00CD7D8D"/>
    <w:rsid w:val="00CE101B"/>
    <w:rsid w:val="00CE21FB"/>
    <w:rsid w:val="00CE22AA"/>
    <w:rsid w:val="00CE2DB9"/>
    <w:rsid w:val="00CE4A72"/>
    <w:rsid w:val="00CE4C45"/>
    <w:rsid w:val="00CE58B2"/>
    <w:rsid w:val="00CE70F4"/>
    <w:rsid w:val="00CE7647"/>
    <w:rsid w:val="00CF0291"/>
    <w:rsid w:val="00CF0F74"/>
    <w:rsid w:val="00CF2D67"/>
    <w:rsid w:val="00CF34F4"/>
    <w:rsid w:val="00CF3694"/>
    <w:rsid w:val="00CF39F4"/>
    <w:rsid w:val="00CF4BFB"/>
    <w:rsid w:val="00CF5F0B"/>
    <w:rsid w:val="00CF64DE"/>
    <w:rsid w:val="00CF718A"/>
    <w:rsid w:val="00CF738D"/>
    <w:rsid w:val="00CF7AE4"/>
    <w:rsid w:val="00CF7EE0"/>
    <w:rsid w:val="00D003A7"/>
    <w:rsid w:val="00D003F2"/>
    <w:rsid w:val="00D00489"/>
    <w:rsid w:val="00D01BBC"/>
    <w:rsid w:val="00D02B24"/>
    <w:rsid w:val="00D03121"/>
    <w:rsid w:val="00D046D5"/>
    <w:rsid w:val="00D04A3B"/>
    <w:rsid w:val="00D05476"/>
    <w:rsid w:val="00D0591C"/>
    <w:rsid w:val="00D059C4"/>
    <w:rsid w:val="00D059E5"/>
    <w:rsid w:val="00D05E3A"/>
    <w:rsid w:val="00D064C4"/>
    <w:rsid w:val="00D067F1"/>
    <w:rsid w:val="00D06C51"/>
    <w:rsid w:val="00D06CD4"/>
    <w:rsid w:val="00D10662"/>
    <w:rsid w:val="00D12365"/>
    <w:rsid w:val="00D1380F"/>
    <w:rsid w:val="00D13FC4"/>
    <w:rsid w:val="00D149EA"/>
    <w:rsid w:val="00D14F6C"/>
    <w:rsid w:val="00D159F5"/>
    <w:rsid w:val="00D15A68"/>
    <w:rsid w:val="00D161EE"/>
    <w:rsid w:val="00D17447"/>
    <w:rsid w:val="00D17BCF"/>
    <w:rsid w:val="00D2106F"/>
    <w:rsid w:val="00D2151D"/>
    <w:rsid w:val="00D228CD"/>
    <w:rsid w:val="00D23E6C"/>
    <w:rsid w:val="00D24F48"/>
    <w:rsid w:val="00D266AA"/>
    <w:rsid w:val="00D26AC9"/>
    <w:rsid w:val="00D26B40"/>
    <w:rsid w:val="00D26E37"/>
    <w:rsid w:val="00D2753C"/>
    <w:rsid w:val="00D277D4"/>
    <w:rsid w:val="00D3035B"/>
    <w:rsid w:val="00D30630"/>
    <w:rsid w:val="00D31341"/>
    <w:rsid w:val="00D31737"/>
    <w:rsid w:val="00D317CE"/>
    <w:rsid w:val="00D3260C"/>
    <w:rsid w:val="00D32E49"/>
    <w:rsid w:val="00D32EB9"/>
    <w:rsid w:val="00D35C13"/>
    <w:rsid w:val="00D36772"/>
    <w:rsid w:val="00D3709F"/>
    <w:rsid w:val="00D37BAD"/>
    <w:rsid w:val="00D37FDF"/>
    <w:rsid w:val="00D41FB1"/>
    <w:rsid w:val="00D44201"/>
    <w:rsid w:val="00D44539"/>
    <w:rsid w:val="00D449A0"/>
    <w:rsid w:val="00D451ED"/>
    <w:rsid w:val="00D45301"/>
    <w:rsid w:val="00D45BFC"/>
    <w:rsid w:val="00D46F23"/>
    <w:rsid w:val="00D47160"/>
    <w:rsid w:val="00D5192E"/>
    <w:rsid w:val="00D51B3F"/>
    <w:rsid w:val="00D51C59"/>
    <w:rsid w:val="00D5399D"/>
    <w:rsid w:val="00D5544A"/>
    <w:rsid w:val="00D56306"/>
    <w:rsid w:val="00D57352"/>
    <w:rsid w:val="00D60DE5"/>
    <w:rsid w:val="00D629FE"/>
    <w:rsid w:val="00D62E52"/>
    <w:rsid w:val="00D64930"/>
    <w:rsid w:val="00D649FE"/>
    <w:rsid w:val="00D6531C"/>
    <w:rsid w:val="00D65F19"/>
    <w:rsid w:val="00D66062"/>
    <w:rsid w:val="00D670CB"/>
    <w:rsid w:val="00D70611"/>
    <w:rsid w:val="00D70A44"/>
    <w:rsid w:val="00D7164E"/>
    <w:rsid w:val="00D71EB8"/>
    <w:rsid w:val="00D729CA"/>
    <w:rsid w:val="00D72A74"/>
    <w:rsid w:val="00D743BF"/>
    <w:rsid w:val="00D74D38"/>
    <w:rsid w:val="00D74EF9"/>
    <w:rsid w:val="00D7510F"/>
    <w:rsid w:val="00D753DE"/>
    <w:rsid w:val="00D75D8F"/>
    <w:rsid w:val="00D76291"/>
    <w:rsid w:val="00D763EA"/>
    <w:rsid w:val="00D80C4C"/>
    <w:rsid w:val="00D80E03"/>
    <w:rsid w:val="00D8173E"/>
    <w:rsid w:val="00D821D8"/>
    <w:rsid w:val="00D82C34"/>
    <w:rsid w:val="00D8326C"/>
    <w:rsid w:val="00D83C6D"/>
    <w:rsid w:val="00D83E69"/>
    <w:rsid w:val="00D84E1A"/>
    <w:rsid w:val="00D852CF"/>
    <w:rsid w:val="00D856F4"/>
    <w:rsid w:val="00D856F8"/>
    <w:rsid w:val="00D85FAD"/>
    <w:rsid w:val="00D86BEE"/>
    <w:rsid w:val="00D87744"/>
    <w:rsid w:val="00D87AD2"/>
    <w:rsid w:val="00D9153C"/>
    <w:rsid w:val="00D91E28"/>
    <w:rsid w:val="00D926FB"/>
    <w:rsid w:val="00D93A82"/>
    <w:rsid w:val="00D93A98"/>
    <w:rsid w:val="00D93FF7"/>
    <w:rsid w:val="00D941AB"/>
    <w:rsid w:val="00D9475C"/>
    <w:rsid w:val="00D94D37"/>
    <w:rsid w:val="00D94DC5"/>
    <w:rsid w:val="00D950B9"/>
    <w:rsid w:val="00D960DF"/>
    <w:rsid w:val="00D9623B"/>
    <w:rsid w:val="00D9700B"/>
    <w:rsid w:val="00D9789E"/>
    <w:rsid w:val="00D97E6F"/>
    <w:rsid w:val="00DA00D5"/>
    <w:rsid w:val="00DA0622"/>
    <w:rsid w:val="00DA0667"/>
    <w:rsid w:val="00DA0B07"/>
    <w:rsid w:val="00DA0EB1"/>
    <w:rsid w:val="00DA0FAE"/>
    <w:rsid w:val="00DA105E"/>
    <w:rsid w:val="00DA10BA"/>
    <w:rsid w:val="00DA1465"/>
    <w:rsid w:val="00DA1609"/>
    <w:rsid w:val="00DA21F5"/>
    <w:rsid w:val="00DA3578"/>
    <w:rsid w:val="00DA35B9"/>
    <w:rsid w:val="00DA478B"/>
    <w:rsid w:val="00DA4A04"/>
    <w:rsid w:val="00DA55D2"/>
    <w:rsid w:val="00DA6D5A"/>
    <w:rsid w:val="00DA7A05"/>
    <w:rsid w:val="00DB09F4"/>
    <w:rsid w:val="00DB1E63"/>
    <w:rsid w:val="00DB2A5C"/>
    <w:rsid w:val="00DB2EB6"/>
    <w:rsid w:val="00DB347E"/>
    <w:rsid w:val="00DB3E3E"/>
    <w:rsid w:val="00DB4667"/>
    <w:rsid w:val="00DB511A"/>
    <w:rsid w:val="00DB58A0"/>
    <w:rsid w:val="00DB58CB"/>
    <w:rsid w:val="00DB69B6"/>
    <w:rsid w:val="00DB7002"/>
    <w:rsid w:val="00DB7840"/>
    <w:rsid w:val="00DB7B65"/>
    <w:rsid w:val="00DC0223"/>
    <w:rsid w:val="00DC03C8"/>
    <w:rsid w:val="00DC19DB"/>
    <w:rsid w:val="00DC1A26"/>
    <w:rsid w:val="00DC1FBC"/>
    <w:rsid w:val="00DC2552"/>
    <w:rsid w:val="00DC2FB2"/>
    <w:rsid w:val="00DC3712"/>
    <w:rsid w:val="00DC3A7E"/>
    <w:rsid w:val="00DC55D7"/>
    <w:rsid w:val="00DC584C"/>
    <w:rsid w:val="00DC5A62"/>
    <w:rsid w:val="00DC6429"/>
    <w:rsid w:val="00DC69E4"/>
    <w:rsid w:val="00DC6FA7"/>
    <w:rsid w:val="00DD01E3"/>
    <w:rsid w:val="00DD19A5"/>
    <w:rsid w:val="00DD3D7D"/>
    <w:rsid w:val="00DD3E72"/>
    <w:rsid w:val="00DD517B"/>
    <w:rsid w:val="00DD5BEF"/>
    <w:rsid w:val="00DD5EBE"/>
    <w:rsid w:val="00DD6911"/>
    <w:rsid w:val="00DD783A"/>
    <w:rsid w:val="00DE01A4"/>
    <w:rsid w:val="00DE0422"/>
    <w:rsid w:val="00DE0530"/>
    <w:rsid w:val="00DE05A3"/>
    <w:rsid w:val="00DE0DF8"/>
    <w:rsid w:val="00DE12AD"/>
    <w:rsid w:val="00DE2302"/>
    <w:rsid w:val="00DE2FF2"/>
    <w:rsid w:val="00DE43AF"/>
    <w:rsid w:val="00DE4C9C"/>
    <w:rsid w:val="00DE72B0"/>
    <w:rsid w:val="00DE749F"/>
    <w:rsid w:val="00DE7822"/>
    <w:rsid w:val="00DE7B3A"/>
    <w:rsid w:val="00DF0250"/>
    <w:rsid w:val="00DF0282"/>
    <w:rsid w:val="00DF0E0A"/>
    <w:rsid w:val="00DF0F28"/>
    <w:rsid w:val="00DF1864"/>
    <w:rsid w:val="00DF20E6"/>
    <w:rsid w:val="00DF2CA5"/>
    <w:rsid w:val="00DF3865"/>
    <w:rsid w:val="00DF4C16"/>
    <w:rsid w:val="00DF563E"/>
    <w:rsid w:val="00DF5F6D"/>
    <w:rsid w:val="00DF64F1"/>
    <w:rsid w:val="00DF66B4"/>
    <w:rsid w:val="00DF709D"/>
    <w:rsid w:val="00DF7206"/>
    <w:rsid w:val="00E000B7"/>
    <w:rsid w:val="00E01AEF"/>
    <w:rsid w:val="00E01BB9"/>
    <w:rsid w:val="00E024B3"/>
    <w:rsid w:val="00E0294D"/>
    <w:rsid w:val="00E03E09"/>
    <w:rsid w:val="00E0443C"/>
    <w:rsid w:val="00E059AF"/>
    <w:rsid w:val="00E06582"/>
    <w:rsid w:val="00E06726"/>
    <w:rsid w:val="00E076A9"/>
    <w:rsid w:val="00E1088B"/>
    <w:rsid w:val="00E10C40"/>
    <w:rsid w:val="00E13489"/>
    <w:rsid w:val="00E146E8"/>
    <w:rsid w:val="00E14814"/>
    <w:rsid w:val="00E14E9B"/>
    <w:rsid w:val="00E15DFA"/>
    <w:rsid w:val="00E16A1B"/>
    <w:rsid w:val="00E17204"/>
    <w:rsid w:val="00E20280"/>
    <w:rsid w:val="00E20AC0"/>
    <w:rsid w:val="00E211CD"/>
    <w:rsid w:val="00E22566"/>
    <w:rsid w:val="00E23401"/>
    <w:rsid w:val="00E25B73"/>
    <w:rsid w:val="00E264CC"/>
    <w:rsid w:val="00E26B65"/>
    <w:rsid w:val="00E26BF3"/>
    <w:rsid w:val="00E30AD6"/>
    <w:rsid w:val="00E30C6E"/>
    <w:rsid w:val="00E30CAA"/>
    <w:rsid w:val="00E31A4D"/>
    <w:rsid w:val="00E31A4F"/>
    <w:rsid w:val="00E32B5B"/>
    <w:rsid w:val="00E340D9"/>
    <w:rsid w:val="00E34C5A"/>
    <w:rsid w:val="00E34D57"/>
    <w:rsid w:val="00E356F8"/>
    <w:rsid w:val="00E35C00"/>
    <w:rsid w:val="00E36E8C"/>
    <w:rsid w:val="00E3733F"/>
    <w:rsid w:val="00E375C2"/>
    <w:rsid w:val="00E40CC4"/>
    <w:rsid w:val="00E40F16"/>
    <w:rsid w:val="00E4144F"/>
    <w:rsid w:val="00E41573"/>
    <w:rsid w:val="00E4235B"/>
    <w:rsid w:val="00E42CCC"/>
    <w:rsid w:val="00E435D2"/>
    <w:rsid w:val="00E44203"/>
    <w:rsid w:val="00E44F19"/>
    <w:rsid w:val="00E4513F"/>
    <w:rsid w:val="00E460EF"/>
    <w:rsid w:val="00E460F1"/>
    <w:rsid w:val="00E46AC7"/>
    <w:rsid w:val="00E46C01"/>
    <w:rsid w:val="00E47ED6"/>
    <w:rsid w:val="00E51F52"/>
    <w:rsid w:val="00E529E1"/>
    <w:rsid w:val="00E5304D"/>
    <w:rsid w:val="00E54ED2"/>
    <w:rsid w:val="00E557EA"/>
    <w:rsid w:val="00E56B5D"/>
    <w:rsid w:val="00E56B85"/>
    <w:rsid w:val="00E57588"/>
    <w:rsid w:val="00E60C18"/>
    <w:rsid w:val="00E6122D"/>
    <w:rsid w:val="00E62194"/>
    <w:rsid w:val="00E634EE"/>
    <w:rsid w:val="00E635BE"/>
    <w:rsid w:val="00E6378F"/>
    <w:rsid w:val="00E64996"/>
    <w:rsid w:val="00E65FBF"/>
    <w:rsid w:val="00E666BF"/>
    <w:rsid w:val="00E6695F"/>
    <w:rsid w:val="00E67216"/>
    <w:rsid w:val="00E67469"/>
    <w:rsid w:val="00E70595"/>
    <w:rsid w:val="00E70704"/>
    <w:rsid w:val="00E72D46"/>
    <w:rsid w:val="00E73288"/>
    <w:rsid w:val="00E73778"/>
    <w:rsid w:val="00E75662"/>
    <w:rsid w:val="00E75B91"/>
    <w:rsid w:val="00E767EC"/>
    <w:rsid w:val="00E76B34"/>
    <w:rsid w:val="00E7720F"/>
    <w:rsid w:val="00E77682"/>
    <w:rsid w:val="00E80712"/>
    <w:rsid w:val="00E807C6"/>
    <w:rsid w:val="00E815C9"/>
    <w:rsid w:val="00E81A7D"/>
    <w:rsid w:val="00E81D50"/>
    <w:rsid w:val="00E82E61"/>
    <w:rsid w:val="00E8347C"/>
    <w:rsid w:val="00E834CC"/>
    <w:rsid w:val="00E83AF2"/>
    <w:rsid w:val="00E84742"/>
    <w:rsid w:val="00E85032"/>
    <w:rsid w:val="00E8643F"/>
    <w:rsid w:val="00E8757C"/>
    <w:rsid w:val="00E90435"/>
    <w:rsid w:val="00E91D50"/>
    <w:rsid w:val="00E9287C"/>
    <w:rsid w:val="00E92B24"/>
    <w:rsid w:val="00E92BE7"/>
    <w:rsid w:val="00E92E3D"/>
    <w:rsid w:val="00E93A4D"/>
    <w:rsid w:val="00E9438F"/>
    <w:rsid w:val="00E948B3"/>
    <w:rsid w:val="00E94B5D"/>
    <w:rsid w:val="00E951EC"/>
    <w:rsid w:val="00E959ED"/>
    <w:rsid w:val="00E96C3A"/>
    <w:rsid w:val="00E97C0B"/>
    <w:rsid w:val="00E97C61"/>
    <w:rsid w:val="00E97E09"/>
    <w:rsid w:val="00EA058D"/>
    <w:rsid w:val="00EA085C"/>
    <w:rsid w:val="00EA09AA"/>
    <w:rsid w:val="00EA1CF8"/>
    <w:rsid w:val="00EA243C"/>
    <w:rsid w:val="00EA2497"/>
    <w:rsid w:val="00EA2742"/>
    <w:rsid w:val="00EA29CF"/>
    <w:rsid w:val="00EA38CF"/>
    <w:rsid w:val="00EA5193"/>
    <w:rsid w:val="00EA5A88"/>
    <w:rsid w:val="00EA7493"/>
    <w:rsid w:val="00EB04CE"/>
    <w:rsid w:val="00EB07E7"/>
    <w:rsid w:val="00EB092B"/>
    <w:rsid w:val="00EB1CBD"/>
    <w:rsid w:val="00EB2612"/>
    <w:rsid w:val="00EB62E0"/>
    <w:rsid w:val="00EB6932"/>
    <w:rsid w:val="00EB79E0"/>
    <w:rsid w:val="00EB7A0D"/>
    <w:rsid w:val="00EC00A4"/>
    <w:rsid w:val="00EC1AAF"/>
    <w:rsid w:val="00EC2B8B"/>
    <w:rsid w:val="00EC2E7B"/>
    <w:rsid w:val="00EC3225"/>
    <w:rsid w:val="00EC33C3"/>
    <w:rsid w:val="00EC35AD"/>
    <w:rsid w:val="00EC35EC"/>
    <w:rsid w:val="00EC48F5"/>
    <w:rsid w:val="00EC551F"/>
    <w:rsid w:val="00EC5EFB"/>
    <w:rsid w:val="00EC766B"/>
    <w:rsid w:val="00ED0537"/>
    <w:rsid w:val="00ED0C25"/>
    <w:rsid w:val="00ED13D8"/>
    <w:rsid w:val="00ED169D"/>
    <w:rsid w:val="00ED2697"/>
    <w:rsid w:val="00ED386B"/>
    <w:rsid w:val="00ED3B7D"/>
    <w:rsid w:val="00ED4623"/>
    <w:rsid w:val="00ED48C2"/>
    <w:rsid w:val="00ED55A3"/>
    <w:rsid w:val="00ED579A"/>
    <w:rsid w:val="00ED57BB"/>
    <w:rsid w:val="00ED59ED"/>
    <w:rsid w:val="00ED6047"/>
    <w:rsid w:val="00ED6521"/>
    <w:rsid w:val="00ED65C3"/>
    <w:rsid w:val="00ED6CFE"/>
    <w:rsid w:val="00ED7A52"/>
    <w:rsid w:val="00EE0584"/>
    <w:rsid w:val="00EE06C4"/>
    <w:rsid w:val="00EE1D3A"/>
    <w:rsid w:val="00EE24C6"/>
    <w:rsid w:val="00EE31E5"/>
    <w:rsid w:val="00EE3534"/>
    <w:rsid w:val="00EE39AC"/>
    <w:rsid w:val="00EE4DFA"/>
    <w:rsid w:val="00EE568F"/>
    <w:rsid w:val="00EE67AA"/>
    <w:rsid w:val="00EE682F"/>
    <w:rsid w:val="00EE6A3D"/>
    <w:rsid w:val="00EE6B56"/>
    <w:rsid w:val="00EE6C60"/>
    <w:rsid w:val="00EE6EBD"/>
    <w:rsid w:val="00EE788D"/>
    <w:rsid w:val="00EE7911"/>
    <w:rsid w:val="00EF053C"/>
    <w:rsid w:val="00EF0AA4"/>
    <w:rsid w:val="00EF2562"/>
    <w:rsid w:val="00EF2CE5"/>
    <w:rsid w:val="00EF3886"/>
    <w:rsid w:val="00EF390D"/>
    <w:rsid w:val="00EF5A88"/>
    <w:rsid w:val="00EF7852"/>
    <w:rsid w:val="00F00EF0"/>
    <w:rsid w:val="00F010BE"/>
    <w:rsid w:val="00F016F6"/>
    <w:rsid w:val="00F03B36"/>
    <w:rsid w:val="00F03B82"/>
    <w:rsid w:val="00F04A57"/>
    <w:rsid w:val="00F04EDB"/>
    <w:rsid w:val="00F0509D"/>
    <w:rsid w:val="00F051E3"/>
    <w:rsid w:val="00F05996"/>
    <w:rsid w:val="00F11B1B"/>
    <w:rsid w:val="00F121C4"/>
    <w:rsid w:val="00F1262F"/>
    <w:rsid w:val="00F13B97"/>
    <w:rsid w:val="00F14091"/>
    <w:rsid w:val="00F15134"/>
    <w:rsid w:val="00F156B9"/>
    <w:rsid w:val="00F15DF3"/>
    <w:rsid w:val="00F15E40"/>
    <w:rsid w:val="00F17245"/>
    <w:rsid w:val="00F20674"/>
    <w:rsid w:val="00F20AE0"/>
    <w:rsid w:val="00F212F4"/>
    <w:rsid w:val="00F21485"/>
    <w:rsid w:val="00F21D33"/>
    <w:rsid w:val="00F2210E"/>
    <w:rsid w:val="00F22657"/>
    <w:rsid w:val="00F22A55"/>
    <w:rsid w:val="00F23101"/>
    <w:rsid w:val="00F237F2"/>
    <w:rsid w:val="00F237FF"/>
    <w:rsid w:val="00F24182"/>
    <w:rsid w:val="00F25125"/>
    <w:rsid w:val="00F25B7F"/>
    <w:rsid w:val="00F26226"/>
    <w:rsid w:val="00F26537"/>
    <w:rsid w:val="00F27FB2"/>
    <w:rsid w:val="00F304E5"/>
    <w:rsid w:val="00F30799"/>
    <w:rsid w:val="00F30DDE"/>
    <w:rsid w:val="00F32897"/>
    <w:rsid w:val="00F32D25"/>
    <w:rsid w:val="00F33AB1"/>
    <w:rsid w:val="00F341A9"/>
    <w:rsid w:val="00F350AC"/>
    <w:rsid w:val="00F35269"/>
    <w:rsid w:val="00F35AC4"/>
    <w:rsid w:val="00F36B44"/>
    <w:rsid w:val="00F37033"/>
    <w:rsid w:val="00F409A8"/>
    <w:rsid w:val="00F4223D"/>
    <w:rsid w:val="00F42A7C"/>
    <w:rsid w:val="00F44481"/>
    <w:rsid w:val="00F44932"/>
    <w:rsid w:val="00F45D7F"/>
    <w:rsid w:val="00F4630A"/>
    <w:rsid w:val="00F46CA7"/>
    <w:rsid w:val="00F4795D"/>
    <w:rsid w:val="00F47D50"/>
    <w:rsid w:val="00F47F92"/>
    <w:rsid w:val="00F50B91"/>
    <w:rsid w:val="00F50CA4"/>
    <w:rsid w:val="00F51B94"/>
    <w:rsid w:val="00F52CC4"/>
    <w:rsid w:val="00F539BD"/>
    <w:rsid w:val="00F53B51"/>
    <w:rsid w:val="00F54212"/>
    <w:rsid w:val="00F54E03"/>
    <w:rsid w:val="00F55D49"/>
    <w:rsid w:val="00F55E91"/>
    <w:rsid w:val="00F56140"/>
    <w:rsid w:val="00F60282"/>
    <w:rsid w:val="00F617F3"/>
    <w:rsid w:val="00F620F5"/>
    <w:rsid w:val="00F627E5"/>
    <w:rsid w:val="00F6509F"/>
    <w:rsid w:val="00F65485"/>
    <w:rsid w:val="00F654FA"/>
    <w:rsid w:val="00F66C70"/>
    <w:rsid w:val="00F66E17"/>
    <w:rsid w:val="00F66E71"/>
    <w:rsid w:val="00F67769"/>
    <w:rsid w:val="00F6780C"/>
    <w:rsid w:val="00F67AF9"/>
    <w:rsid w:val="00F67FC6"/>
    <w:rsid w:val="00F7023B"/>
    <w:rsid w:val="00F705E5"/>
    <w:rsid w:val="00F7348A"/>
    <w:rsid w:val="00F73653"/>
    <w:rsid w:val="00F73A8A"/>
    <w:rsid w:val="00F747DE"/>
    <w:rsid w:val="00F75813"/>
    <w:rsid w:val="00F758DF"/>
    <w:rsid w:val="00F75F84"/>
    <w:rsid w:val="00F7641C"/>
    <w:rsid w:val="00F76DF5"/>
    <w:rsid w:val="00F7733F"/>
    <w:rsid w:val="00F776D8"/>
    <w:rsid w:val="00F8040C"/>
    <w:rsid w:val="00F819D3"/>
    <w:rsid w:val="00F81A1F"/>
    <w:rsid w:val="00F82061"/>
    <w:rsid w:val="00F821EE"/>
    <w:rsid w:val="00F82C7D"/>
    <w:rsid w:val="00F85A25"/>
    <w:rsid w:val="00F85BAC"/>
    <w:rsid w:val="00F8621F"/>
    <w:rsid w:val="00F87669"/>
    <w:rsid w:val="00F87913"/>
    <w:rsid w:val="00F90088"/>
    <w:rsid w:val="00F92D15"/>
    <w:rsid w:val="00F92DC1"/>
    <w:rsid w:val="00F93083"/>
    <w:rsid w:val="00F93847"/>
    <w:rsid w:val="00F93C6E"/>
    <w:rsid w:val="00F95BF4"/>
    <w:rsid w:val="00F96068"/>
    <w:rsid w:val="00F97404"/>
    <w:rsid w:val="00FA043E"/>
    <w:rsid w:val="00FA053A"/>
    <w:rsid w:val="00FA1CD0"/>
    <w:rsid w:val="00FA1E25"/>
    <w:rsid w:val="00FA1F6D"/>
    <w:rsid w:val="00FA3857"/>
    <w:rsid w:val="00FA3B5D"/>
    <w:rsid w:val="00FA45C2"/>
    <w:rsid w:val="00FA46DE"/>
    <w:rsid w:val="00FA4DAA"/>
    <w:rsid w:val="00FA75B3"/>
    <w:rsid w:val="00FA7966"/>
    <w:rsid w:val="00FB2049"/>
    <w:rsid w:val="00FB2345"/>
    <w:rsid w:val="00FB2573"/>
    <w:rsid w:val="00FB2871"/>
    <w:rsid w:val="00FB28EC"/>
    <w:rsid w:val="00FB2CCC"/>
    <w:rsid w:val="00FB30B9"/>
    <w:rsid w:val="00FB3DF2"/>
    <w:rsid w:val="00FB45D2"/>
    <w:rsid w:val="00FB50D8"/>
    <w:rsid w:val="00FB60E8"/>
    <w:rsid w:val="00FB6857"/>
    <w:rsid w:val="00FB6F66"/>
    <w:rsid w:val="00FB7081"/>
    <w:rsid w:val="00FB7547"/>
    <w:rsid w:val="00FB78EE"/>
    <w:rsid w:val="00FC02D5"/>
    <w:rsid w:val="00FC0A73"/>
    <w:rsid w:val="00FC12A9"/>
    <w:rsid w:val="00FC246C"/>
    <w:rsid w:val="00FC2E38"/>
    <w:rsid w:val="00FC3414"/>
    <w:rsid w:val="00FC3D2C"/>
    <w:rsid w:val="00FC40FF"/>
    <w:rsid w:val="00FC42E0"/>
    <w:rsid w:val="00FC4F31"/>
    <w:rsid w:val="00FC5561"/>
    <w:rsid w:val="00FC5672"/>
    <w:rsid w:val="00FC5835"/>
    <w:rsid w:val="00FC5F2B"/>
    <w:rsid w:val="00FC5F70"/>
    <w:rsid w:val="00FC6196"/>
    <w:rsid w:val="00FC68C8"/>
    <w:rsid w:val="00FC6FFC"/>
    <w:rsid w:val="00FC70AE"/>
    <w:rsid w:val="00FC729F"/>
    <w:rsid w:val="00FC7DC3"/>
    <w:rsid w:val="00FD03C7"/>
    <w:rsid w:val="00FD0D75"/>
    <w:rsid w:val="00FD0E83"/>
    <w:rsid w:val="00FD13BD"/>
    <w:rsid w:val="00FD18F1"/>
    <w:rsid w:val="00FD1F6A"/>
    <w:rsid w:val="00FD2509"/>
    <w:rsid w:val="00FD25F5"/>
    <w:rsid w:val="00FD295A"/>
    <w:rsid w:val="00FD371D"/>
    <w:rsid w:val="00FD3A28"/>
    <w:rsid w:val="00FD4032"/>
    <w:rsid w:val="00FD40C1"/>
    <w:rsid w:val="00FD40DE"/>
    <w:rsid w:val="00FD423B"/>
    <w:rsid w:val="00FD4529"/>
    <w:rsid w:val="00FD5722"/>
    <w:rsid w:val="00FD5F7F"/>
    <w:rsid w:val="00FD661B"/>
    <w:rsid w:val="00FD67EC"/>
    <w:rsid w:val="00FD6A91"/>
    <w:rsid w:val="00FD6CE2"/>
    <w:rsid w:val="00FD6E16"/>
    <w:rsid w:val="00FE0548"/>
    <w:rsid w:val="00FE0BE3"/>
    <w:rsid w:val="00FE0C99"/>
    <w:rsid w:val="00FE0FC6"/>
    <w:rsid w:val="00FE1979"/>
    <w:rsid w:val="00FE22C1"/>
    <w:rsid w:val="00FE456C"/>
    <w:rsid w:val="00FE5C93"/>
    <w:rsid w:val="00FE5EF8"/>
    <w:rsid w:val="00FF0DE6"/>
    <w:rsid w:val="00FF150D"/>
    <w:rsid w:val="00FF2157"/>
    <w:rsid w:val="00FF2B53"/>
    <w:rsid w:val="00FF3A4E"/>
    <w:rsid w:val="00FF401D"/>
    <w:rsid w:val="00FF4347"/>
    <w:rsid w:val="00FF43D4"/>
    <w:rsid w:val="00FF43E0"/>
    <w:rsid w:val="00FF464C"/>
    <w:rsid w:val="00FF4735"/>
    <w:rsid w:val="00FF4C39"/>
    <w:rsid w:val="5F5206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方正仿宋_GBK"/>
      <w:kern w:val="2"/>
      <w:sz w:val="32"/>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trPr>
      <w:wBefore w:w="0" w:type="dxa"/>
    </w:tr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bottom w:val="single" w:color="auto" w:sz="6" w:space="1"/>
      </w:pBdr>
      <w:tabs>
        <w:tab w:val="center" w:pos="4153"/>
        <w:tab w:val="right" w:pos="8306"/>
      </w:tabs>
      <w:snapToGrid w:val="0"/>
      <w:jc w:val="center"/>
    </w:pPr>
    <w:rPr>
      <w:sz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2946</Words>
  <Characters>16794</Characters>
  <Lines>139</Lines>
  <Paragraphs>39</Paragraphs>
  <TotalTime>16</TotalTime>
  <ScaleCrop>false</ScaleCrop>
  <LinksUpToDate>false</LinksUpToDate>
  <CharactersWithSpaces>19701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2021-12-02T06:10:00Z</dcterms:created>
  <dc:creator>文印中心_万娟</dc:creator>
  <cp:lastModifiedBy>张秋秋</cp:lastModifiedBy>
  <cp:lastPrinted>2021-12-03T09:51:00Z</cp:lastPrinted>
  <dcterms:modified xsi:type="dcterms:W3CDTF">2022-01-19T05:18:01Z</dcterms:modified>
  <dc:title>重庆市人民政府办公厅</dc:title>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380550067_embed</vt:lpwstr>
  </property>
  <property fmtid="{D5CDD505-2E9C-101B-9397-08002B2CF9AE}" pid="3" name="KSOProductBuildVer">
    <vt:lpwstr>2052-11.1.0.10495</vt:lpwstr>
  </property>
  <property fmtid="{D5CDD505-2E9C-101B-9397-08002B2CF9AE}" pid="4" name="ICV">
    <vt:lpwstr>2BE9B9CD41764B54897EDCBB0D9F35FF</vt:lpwstr>
  </property>
</Properties>
</file>