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附件3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重庆市养老机构基本条件告知书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养老机构应当根据《中华人民共和国老年人权益保障法》和《重庆市养老机构管理办法》的要求，按照属地原则，向所在区县（自治县）民政部门登记备案，接受民政等部门的监督管理，并按照法律法规、标准规范、管理规定等开展服务活动。养老机构基本条件如下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应当符合《中华人民共和国建筑法》《中华人民共和国消防法》《无障碍环境建设条例》等法律法规，以及《老年人照料设施建筑设计标准》（住房城乡建设部公告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36</w:t>
      </w:r>
      <w:r>
        <w:rPr>
          <w:rFonts w:ascii="Times New Roman" w:hAnsi="方正仿宋_GBK" w:eastAsia="方正仿宋_GBK" w:cs="Times New Roman"/>
          <w:sz w:val="32"/>
          <w:szCs w:val="32"/>
        </w:rPr>
        <w:t>号）、《建筑设计防火规范》（住房城乡建设部公告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方正仿宋_GBK" w:eastAsia="方正仿宋_GBK" w:cs="Times New Roman"/>
          <w:sz w:val="32"/>
          <w:szCs w:val="32"/>
        </w:rPr>
        <w:t>号）、《养老设施建筑设计规范》（</w:t>
      </w:r>
      <w:r>
        <w:rPr>
          <w:rFonts w:ascii="Times New Roman" w:hAnsi="Times New Roman" w:eastAsia="方正仿宋_GBK" w:cs="Times New Roman"/>
          <w:sz w:val="32"/>
          <w:szCs w:val="32"/>
        </w:rPr>
        <w:t>GB50867—2013</w:t>
      </w:r>
      <w:r>
        <w:rPr>
          <w:rFonts w:ascii="Times New Roman" w:hAnsi="方正仿宋_GBK" w:eastAsia="方正仿宋_GBK" w:cs="Times New Roman"/>
          <w:sz w:val="32"/>
          <w:szCs w:val="32"/>
        </w:rPr>
        <w:t>）等国家标准或者行业标准规定的安全生产条件，并符合环境影响评价分类管理要求。依照《中华人民共和国安全生产法》第</w:t>
      </w:r>
      <w:r>
        <w:rPr>
          <w:rFonts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方正仿宋_GBK" w:eastAsia="方正仿宋_GBK" w:cs="Times New Roman"/>
          <w:sz w:val="32"/>
          <w:szCs w:val="32"/>
        </w:rPr>
        <w:t>条规定，不具备安全生产条件的，不得从事经营服务活动。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应当符合和遵照《重庆市养老机构管理办法》（渝府令〔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326</w:t>
      </w:r>
      <w:r>
        <w:rPr>
          <w:rFonts w:ascii="Times New Roman" w:hAnsi="方正仿宋_GBK" w:eastAsia="方正仿宋_GBK" w:cs="Times New Roman"/>
          <w:sz w:val="32"/>
          <w:szCs w:val="32"/>
        </w:rPr>
        <w:t>号）规划建设、机构设立、扶持发展、服务运营和监督管理等规定。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养老服务应当符合《中华人民共和国老年人权益保障法》《重庆市老年人权益保障条例》和《重庆市养老机构管理办法》等相关要求。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开展餐饮服务的，应当符合现行的《中华人民共和国食品安全法》《食品经营许可管理办法》等法律法规，并符相应食品安全标准。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开展医疗卫生服务的，应当符合现行的《医疗机构管理条例》《医疗机构管理条例实施细则》等法规规章。符合《养老机构医务室基本标准（试行）》和《养老机构内设护理站基本标准（试行）》（国卫办医发〔</w:t>
      </w:r>
      <w:r>
        <w:rPr>
          <w:rFonts w:ascii="Times New Roman" w:hAnsi="Times New Roman" w:eastAsia="方正仿宋_GBK" w:cs="Times New Roman"/>
          <w:sz w:val="32"/>
          <w:szCs w:val="32"/>
        </w:rPr>
        <w:t>2014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57</w:t>
      </w:r>
      <w:r>
        <w:rPr>
          <w:rFonts w:ascii="Times New Roman" w:hAnsi="方正仿宋_GBK" w:eastAsia="方正仿宋_GBK" w:cs="Times New Roman"/>
          <w:sz w:val="32"/>
          <w:szCs w:val="32"/>
        </w:rPr>
        <w:t>号）、《医疗机构基本标准（试行）》（卫医发〔</w:t>
      </w:r>
      <w:r>
        <w:rPr>
          <w:rFonts w:ascii="Times New Roman" w:hAnsi="Times New Roman" w:eastAsia="方正仿宋_GBK" w:cs="Times New Roman"/>
          <w:sz w:val="32"/>
          <w:szCs w:val="32"/>
        </w:rPr>
        <w:t>1994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方正仿宋_GBK" w:eastAsia="方正仿宋_GBK" w:cs="Times New Roman"/>
          <w:sz w:val="32"/>
          <w:szCs w:val="32"/>
        </w:rPr>
        <w:t>号）等标准。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法律法规规定的其他条件。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黑体" w:hAnsi="Calibri" w:eastAsia="宋体" w:cs="Times New Roman"/>
          <w:spacing w:val="-60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866A4"/>
    <w:rsid w:val="07F14ED8"/>
    <w:rsid w:val="5F5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2021-12-21T09:20:00Z</dcterms:created>
  <dc:creator>用心去吟的诗</dc:creator>
  <cp:lastModifiedBy>用心去吟的诗</cp:lastModifiedBy>
  <dcterms:modified xsi:type="dcterms:W3CDTF">2021-12-21T09:20:11Z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5D6D5F1D5DB24252BEDBCD0C3CFAB1A2</vt:lpwstr>
  </property>
</Properties>
</file>